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F86F5A" w14:textId="1CA3A7C4" w:rsidR="0080282C" w:rsidRPr="009D56B1" w:rsidRDefault="0080282C" w:rsidP="0080282C">
      <w:pPr>
        <w:pStyle w:val="Header"/>
        <w:tabs>
          <w:tab w:val="right" w:pos="9639"/>
        </w:tabs>
        <w:rPr>
          <w:rFonts w:eastAsia="MS Mincho"/>
          <w:bCs/>
          <w:i/>
          <w:noProof w:val="0"/>
          <w:sz w:val="32"/>
          <w:lang w:eastAsia="ko-KR"/>
        </w:rPr>
      </w:pPr>
      <w:r w:rsidRPr="00A87711">
        <w:rPr>
          <w:noProof w:val="0"/>
          <w:sz w:val="24"/>
          <w:lang w:eastAsia="zh-CN"/>
        </w:rPr>
        <w:t>3GPP TSG RAN WG2</w:t>
      </w:r>
      <w:r>
        <w:rPr>
          <w:noProof w:val="0"/>
          <w:sz w:val="24"/>
          <w:lang w:eastAsia="zh-CN"/>
        </w:rPr>
        <w:t xml:space="preserve"> Meeting #100</w:t>
      </w:r>
      <w:r w:rsidRPr="009D56B1">
        <w:rPr>
          <w:bCs/>
          <w:noProof w:val="0"/>
          <w:sz w:val="24"/>
        </w:rPr>
        <w:tab/>
      </w:r>
      <w:r w:rsidR="006D5A56" w:rsidRPr="006D5A56">
        <w:rPr>
          <w:bCs/>
          <w:noProof w:val="0"/>
          <w:sz w:val="24"/>
          <w:lang w:eastAsia="ja-JP"/>
        </w:rPr>
        <w:t>R2-1712627</w:t>
      </w:r>
    </w:p>
    <w:p w14:paraId="4ED4BB71" w14:textId="0249E59D" w:rsidR="0080282C" w:rsidRPr="009D56B1" w:rsidRDefault="0080282C" w:rsidP="0080282C">
      <w:pPr>
        <w:pStyle w:val="Header"/>
        <w:tabs>
          <w:tab w:val="right" w:pos="9639"/>
        </w:tabs>
        <w:rPr>
          <w:rFonts w:eastAsia="MS Mincho"/>
          <w:bCs/>
          <w:i/>
          <w:noProof w:val="0"/>
          <w:sz w:val="32"/>
          <w:lang w:eastAsia="ko-KR"/>
        </w:rPr>
      </w:pPr>
      <w:r w:rsidRPr="007D32DD">
        <w:rPr>
          <w:noProof w:val="0"/>
          <w:sz w:val="24"/>
          <w:lang w:eastAsia="zh-CN"/>
        </w:rPr>
        <w:t>Reno, USA, 27th November – 1st December 2017</w:t>
      </w:r>
      <w:r w:rsidRPr="009D56B1">
        <w:rPr>
          <w:noProof w:val="0"/>
          <w:sz w:val="24"/>
          <w:lang w:eastAsia="zh-CN"/>
        </w:rPr>
        <w:tab/>
      </w:r>
    </w:p>
    <w:p w14:paraId="60EF47B0" w14:textId="77777777" w:rsidR="001C137C" w:rsidRPr="009D56B1" w:rsidRDefault="001C137C" w:rsidP="001C137C">
      <w:pPr>
        <w:pStyle w:val="Header"/>
        <w:rPr>
          <w:bCs/>
          <w:noProof w:val="0"/>
          <w:sz w:val="24"/>
          <w:lang w:eastAsia="ja-JP"/>
        </w:rPr>
      </w:pPr>
    </w:p>
    <w:p w14:paraId="60EF47B1" w14:textId="77777777" w:rsidR="001C137C" w:rsidRPr="009D56B1" w:rsidRDefault="001C137C" w:rsidP="001C137C">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910B7A">
        <w:rPr>
          <w:rFonts w:cs="Arial"/>
          <w:b/>
          <w:bCs/>
          <w:sz w:val="24"/>
          <w:lang w:val="en-US"/>
        </w:rPr>
        <w:t>9.10.2</w:t>
      </w:r>
    </w:p>
    <w:p w14:paraId="60EF47B2" w14:textId="77777777" w:rsidR="001C137C" w:rsidRPr="009D56B1" w:rsidRDefault="001C137C" w:rsidP="001C137C">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60EF47B3" w14:textId="5CBD0A88" w:rsidR="001C137C" w:rsidRPr="009D56B1" w:rsidRDefault="001C137C" w:rsidP="001C137C">
      <w:pPr>
        <w:tabs>
          <w:tab w:val="left" w:pos="1985"/>
        </w:tabs>
        <w:ind w:left="1985" w:hanging="198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5D276B">
        <w:rPr>
          <w:rFonts w:ascii="Arial" w:hAnsi="Arial" w:cs="Arial"/>
          <w:b/>
          <w:bCs/>
          <w:sz w:val="24"/>
        </w:rPr>
        <w:t>Discussion on carrier reselection aspects for CA</w:t>
      </w:r>
      <w:r w:rsidR="0080282C" w:rsidRPr="0080282C">
        <w:rPr>
          <w:rFonts w:ascii="Arial" w:hAnsi="Arial" w:cs="Arial"/>
          <w:b/>
          <w:bCs/>
          <w:sz w:val="24"/>
        </w:rPr>
        <w:t xml:space="preserve"> over sidelink</w:t>
      </w:r>
    </w:p>
    <w:p w14:paraId="60EF47B4" w14:textId="77777777" w:rsidR="001C137C" w:rsidRPr="009D56B1" w:rsidRDefault="001C137C" w:rsidP="001C137C">
      <w:pPr>
        <w:rPr>
          <w:rFonts w:ascii="Arial" w:hAnsi="Arial" w:cs="Arial"/>
          <w:b/>
          <w:bCs/>
          <w:sz w:val="24"/>
          <w:lang w:eastAsia="zh-CN"/>
        </w:rPr>
      </w:pPr>
      <w:r w:rsidRPr="009D56B1">
        <w:rPr>
          <w:rFonts w:ascii="Arial" w:hAnsi="Arial" w:cs="Arial"/>
          <w:b/>
          <w:bCs/>
          <w:sz w:val="24"/>
        </w:rPr>
        <w:t>Docum</w:t>
      </w:r>
      <w:r w:rsidR="00BB4A45">
        <w:rPr>
          <w:rFonts w:ascii="Arial" w:hAnsi="Arial" w:cs="Arial"/>
          <w:b/>
          <w:bCs/>
          <w:sz w:val="24"/>
        </w:rPr>
        <w:t>ent for:</w:t>
      </w:r>
      <w:r w:rsidR="00BB4A45">
        <w:rPr>
          <w:rFonts w:ascii="Arial" w:hAnsi="Arial" w:cs="Arial"/>
          <w:b/>
          <w:bCs/>
          <w:sz w:val="24"/>
        </w:rPr>
        <w:tab/>
        <w:t>Discussion</w:t>
      </w:r>
    </w:p>
    <w:p w14:paraId="60EF47B5" w14:textId="77777777" w:rsidR="008669B1" w:rsidRPr="00E0063E" w:rsidRDefault="008669B1" w:rsidP="006D136D">
      <w:pPr>
        <w:pStyle w:val="Tdoc"/>
        <w:ind w:left="0" w:firstLine="0"/>
      </w:pPr>
      <w:r w:rsidRPr="00E0063E">
        <w:t>Introduction</w:t>
      </w:r>
      <w:r w:rsidRPr="00E0063E">
        <w:rPr>
          <w:lang w:val="en-GB"/>
        </w:rPr>
        <w:t xml:space="preserve">  </w:t>
      </w:r>
    </w:p>
    <w:p w14:paraId="7F19BBE6" w14:textId="38C294B3" w:rsidR="002115B0" w:rsidRPr="001C137C" w:rsidRDefault="00255CB1" w:rsidP="001C137C">
      <w:pPr>
        <w:overflowPunct w:val="0"/>
        <w:autoSpaceDE w:val="0"/>
        <w:autoSpaceDN w:val="0"/>
        <w:adjustRightInd w:val="0"/>
        <w:spacing w:after="180" w:line="240" w:lineRule="auto"/>
        <w:textAlignment w:val="baseline"/>
        <w:rPr>
          <w:rFonts w:ascii="Times New Roman" w:hAnsi="Times New Roman"/>
          <w:sz w:val="20"/>
          <w:szCs w:val="20"/>
          <w:lang w:eastAsia="ja-JP"/>
        </w:rPr>
      </w:pPr>
      <w:r>
        <w:rPr>
          <w:rFonts w:ascii="Times New Roman" w:hAnsi="Times New Roman"/>
          <w:sz w:val="20"/>
          <w:szCs w:val="20"/>
          <w:lang w:eastAsia="zh-CN"/>
        </w:rPr>
        <w:t xml:space="preserve">In this contribution, we look at aspects related to the selection of TX carriers for CA </w:t>
      </w:r>
      <w:r w:rsidR="003F2737">
        <w:rPr>
          <w:rFonts w:ascii="Times New Roman" w:hAnsi="Times New Roman"/>
          <w:sz w:val="20"/>
          <w:szCs w:val="20"/>
          <w:lang w:eastAsia="zh-CN"/>
        </w:rPr>
        <w:t xml:space="preserve">and </w:t>
      </w:r>
      <w:r>
        <w:rPr>
          <w:rFonts w:ascii="Times New Roman" w:hAnsi="Times New Roman"/>
          <w:sz w:val="20"/>
          <w:szCs w:val="20"/>
          <w:lang w:eastAsia="zh-CN"/>
        </w:rPr>
        <w:t xml:space="preserve">present our views on </w:t>
      </w:r>
      <w:r w:rsidR="003F2737">
        <w:rPr>
          <w:rFonts w:ascii="Times New Roman" w:hAnsi="Times New Roman"/>
          <w:sz w:val="20"/>
          <w:szCs w:val="20"/>
          <w:lang w:eastAsia="zh-CN"/>
        </w:rPr>
        <w:t xml:space="preserve">when and how often </w:t>
      </w:r>
      <w:r>
        <w:rPr>
          <w:rFonts w:ascii="Times New Roman" w:hAnsi="Times New Roman"/>
          <w:sz w:val="20"/>
          <w:szCs w:val="20"/>
          <w:lang w:eastAsia="zh-CN"/>
        </w:rPr>
        <w:t>this selection procedure should be performed.</w:t>
      </w:r>
      <w:r w:rsidR="003F2737">
        <w:rPr>
          <w:rFonts w:ascii="Times New Roman" w:hAnsi="Times New Roman"/>
          <w:sz w:val="20"/>
          <w:szCs w:val="20"/>
          <w:lang w:eastAsia="zh-CN"/>
        </w:rPr>
        <w:t xml:space="preserve"> </w:t>
      </w:r>
    </w:p>
    <w:p w14:paraId="60EF47C1" w14:textId="77777777" w:rsidR="001C137C" w:rsidRDefault="006242D5" w:rsidP="00DA3465">
      <w:pPr>
        <w:pStyle w:val="Tdoc"/>
        <w:ind w:left="0" w:firstLine="0"/>
      </w:pPr>
      <w:r>
        <w:t>Discussion</w:t>
      </w:r>
    </w:p>
    <w:p w14:paraId="7E5DBD28" w14:textId="1BCF718B" w:rsidR="00F9599A" w:rsidRPr="00F9599A" w:rsidRDefault="00F9599A" w:rsidP="00F9599A">
      <w:pPr>
        <w:widowControl w:val="0"/>
        <w:tabs>
          <w:tab w:val="left" w:pos="907"/>
        </w:tabs>
        <w:spacing w:before="240" w:after="60" w:line="240" w:lineRule="auto"/>
        <w:ind w:left="907" w:hanging="907"/>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2.1</w:t>
      </w:r>
      <w:r w:rsidRPr="00F9599A">
        <w:rPr>
          <w:rFonts w:ascii="Arial" w:eastAsia="MS Mincho" w:hAnsi="Arial" w:cs="Arial"/>
          <w:bCs/>
          <w:sz w:val="26"/>
          <w:szCs w:val="26"/>
          <w:lang w:val="en-GB" w:eastAsia="en-GB"/>
        </w:rPr>
        <w:tab/>
      </w:r>
      <w:r w:rsidR="009C15E1">
        <w:rPr>
          <w:rFonts w:ascii="Arial" w:eastAsia="MS Mincho" w:hAnsi="Arial" w:cs="Arial"/>
          <w:bCs/>
          <w:sz w:val="26"/>
          <w:szCs w:val="26"/>
          <w:lang w:val="en-GB" w:eastAsia="en-GB"/>
        </w:rPr>
        <w:t>When to perform carrier reselection</w:t>
      </w:r>
    </w:p>
    <w:p w14:paraId="62946BDC" w14:textId="5799611B" w:rsidR="009522D1" w:rsidRDefault="00197274" w:rsidP="009522D1">
      <w:pPr>
        <w:spacing w:before="240"/>
        <w:rPr>
          <w:rFonts w:ascii="Times New Roman" w:hAnsi="Times New Roman"/>
          <w:sz w:val="20"/>
        </w:rPr>
      </w:pPr>
      <w:r>
        <w:rPr>
          <w:rFonts w:ascii="Times New Roman" w:hAnsi="Times New Roman"/>
          <w:sz w:val="20"/>
        </w:rPr>
        <w:t xml:space="preserve">In the last </w:t>
      </w:r>
      <w:r w:rsidR="00EF56B3">
        <w:rPr>
          <w:rFonts w:ascii="Times New Roman" w:hAnsi="Times New Roman"/>
          <w:sz w:val="20"/>
        </w:rPr>
        <w:t xml:space="preserve">few </w:t>
      </w:r>
      <w:r>
        <w:rPr>
          <w:rFonts w:ascii="Times New Roman" w:hAnsi="Times New Roman"/>
          <w:sz w:val="20"/>
        </w:rPr>
        <w:t xml:space="preserve">RAN2 meeting, </w:t>
      </w:r>
      <w:r w:rsidR="00EF56B3">
        <w:rPr>
          <w:rFonts w:ascii="Times New Roman" w:hAnsi="Times New Roman"/>
          <w:sz w:val="20"/>
        </w:rPr>
        <w:t>there has been detailed discussion</w:t>
      </w:r>
      <w:r>
        <w:rPr>
          <w:rFonts w:ascii="Times New Roman" w:hAnsi="Times New Roman"/>
          <w:sz w:val="20"/>
        </w:rPr>
        <w:t xml:space="preserve"> on the carrier selection mechanism for transmission and the various factors which impact this selection procedure</w:t>
      </w:r>
      <w:sdt>
        <w:sdtPr>
          <w:rPr>
            <w:rFonts w:ascii="Times New Roman" w:hAnsi="Times New Roman"/>
            <w:sz w:val="20"/>
          </w:rPr>
          <w:id w:val="1535307681"/>
          <w:citation/>
        </w:sdtPr>
        <w:sdtEndPr/>
        <w:sdtContent>
          <w:r w:rsidR="003F2737">
            <w:rPr>
              <w:rFonts w:ascii="Times New Roman" w:hAnsi="Times New Roman"/>
              <w:sz w:val="20"/>
            </w:rPr>
            <w:fldChar w:fldCharType="begin"/>
          </w:r>
          <w:r w:rsidR="003F2737">
            <w:rPr>
              <w:rFonts w:ascii="Times New Roman" w:hAnsi="Times New Roman"/>
              <w:sz w:val="20"/>
            </w:rPr>
            <w:instrText xml:space="preserve"> CITATION RAN299bis \l 1033 </w:instrText>
          </w:r>
          <w:r w:rsidR="003F2737">
            <w:rPr>
              <w:rFonts w:ascii="Times New Roman" w:hAnsi="Times New Roman"/>
              <w:sz w:val="20"/>
            </w:rPr>
            <w:fldChar w:fldCharType="separate"/>
          </w:r>
          <w:r w:rsidR="00B14489">
            <w:rPr>
              <w:rFonts w:ascii="Times New Roman" w:hAnsi="Times New Roman"/>
              <w:noProof/>
              <w:sz w:val="20"/>
            </w:rPr>
            <w:t xml:space="preserve"> </w:t>
          </w:r>
          <w:r w:rsidR="00B14489" w:rsidRPr="00B14489">
            <w:rPr>
              <w:rFonts w:ascii="Times New Roman" w:hAnsi="Times New Roman"/>
              <w:noProof/>
              <w:sz w:val="20"/>
            </w:rPr>
            <w:t>[1]</w:t>
          </w:r>
          <w:r w:rsidR="003F2737">
            <w:rPr>
              <w:rFonts w:ascii="Times New Roman" w:hAnsi="Times New Roman"/>
              <w:sz w:val="20"/>
            </w:rPr>
            <w:fldChar w:fldCharType="end"/>
          </w:r>
        </w:sdtContent>
      </w:sdt>
      <w:r>
        <w:rPr>
          <w:rFonts w:ascii="Times New Roman" w:hAnsi="Times New Roman"/>
          <w:sz w:val="20"/>
        </w:rPr>
        <w:t xml:space="preserve">. </w:t>
      </w:r>
      <w:r w:rsidR="009522D1">
        <w:rPr>
          <w:rFonts w:ascii="Times New Roman" w:hAnsi="Times New Roman"/>
          <w:sz w:val="20"/>
        </w:rPr>
        <w:t xml:space="preserve">A </w:t>
      </w:r>
      <w:bookmarkStart w:id="0" w:name="_GoBack"/>
      <w:bookmarkEnd w:id="0"/>
      <w:r w:rsidR="009522D1">
        <w:rPr>
          <w:rFonts w:ascii="Times New Roman" w:hAnsi="Times New Roman"/>
          <w:sz w:val="20"/>
        </w:rPr>
        <w:t xml:space="preserve">related aspect </w:t>
      </w:r>
      <w:r w:rsidR="00EF56B3">
        <w:rPr>
          <w:rFonts w:ascii="Times New Roman" w:hAnsi="Times New Roman"/>
          <w:sz w:val="20"/>
        </w:rPr>
        <w:t>which has not yet been explicitly addressed</w:t>
      </w:r>
      <w:r w:rsidR="009522D1" w:rsidRPr="009522D1">
        <w:rPr>
          <w:rFonts w:ascii="Times New Roman" w:hAnsi="Times New Roman"/>
          <w:sz w:val="20"/>
        </w:rPr>
        <w:t xml:space="preserve"> is whether the selection of a particular component carrier (CC) or set of CCs is packet specific or V2X service specific. </w:t>
      </w:r>
      <w:r w:rsidR="009522D1">
        <w:rPr>
          <w:rFonts w:ascii="Times New Roman" w:hAnsi="Times New Roman"/>
          <w:sz w:val="20"/>
        </w:rPr>
        <w:t xml:space="preserve">Put another way, when and how often this carrier selection procedure is triggered at the AS layer? </w:t>
      </w:r>
    </w:p>
    <w:p w14:paraId="45F8ECCD" w14:textId="72527FAE" w:rsidR="00EF56B3" w:rsidRDefault="009522D1" w:rsidP="009522D1">
      <w:pPr>
        <w:spacing w:before="240"/>
        <w:rPr>
          <w:rFonts w:ascii="Times New Roman" w:hAnsi="Times New Roman"/>
          <w:sz w:val="20"/>
        </w:rPr>
      </w:pPr>
      <w:r w:rsidRPr="009522D1">
        <w:rPr>
          <w:rFonts w:ascii="Times New Roman" w:hAnsi="Times New Roman"/>
          <w:sz w:val="20"/>
        </w:rPr>
        <w:t>For the former case, i.e. packet specific selection of CCs, the UE can perform the selection of CCs every time a packet is passed down to the AS layer, regardless of whether it corresponds to the same service</w:t>
      </w:r>
      <w:r w:rsidR="003F2737">
        <w:rPr>
          <w:rFonts w:ascii="Times New Roman" w:hAnsi="Times New Roman"/>
          <w:sz w:val="20"/>
        </w:rPr>
        <w:t xml:space="preserve"> type</w:t>
      </w:r>
      <w:r w:rsidRPr="009522D1">
        <w:rPr>
          <w:rFonts w:ascii="Times New Roman" w:hAnsi="Times New Roman"/>
          <w:sz w:val="20"/>
        </w:rPr>
        <w:t xml:space="preserve">. While it may be computationally expensive, the upside is that it would allow the UE to respond to channel quality changes dynamically, even for packets with the same priority. As the channel quality or loading of a particular carrier that was deemed fit for transmission for previous packets degrades, the selection process would choose a more suitable set of CCs to be used for subsequent transmission (through sensing results), thereby reducing potential packet loss and interference with other transmissions. Similarly, for example in the case of </w:t>
      </w:r>
      <w:r>
        <w:rPr>
          <w:rFonts w:ascii="Times New Roman" w:hAnsi="Times New Roman"/>
          <w:sz w:val="20"/>
        </w:rPr>
        <w:t xml:space="preserve">advanced V2X use cases like </w:t>
      </w:r>
      <w:r w:rsidRPr="009522D1">
        <w:rPr>
          <w:rFonts w:ascii="Times New Roman" w:hAnsi="Times New Roman"/>
          <w:sz w:val="20"/>
        </w:rPr>
        <w:t xml:space="preserve">vehicle platooning, depending on how the composition of a particular platoon changes, this per packet selection of CC can respond to these changes </w:t>
      </w:r>
      <w:r>
        <w:rPr>
          <w:rFonts w:ascii="Times New Roman" w:hAnsi="Times New Roman"/>
          <w:sz w:val="20"/>
        </w:rPr>
        <w:t>more robustly</w:t>
      </w:r>
      <w:r w:rsidRPr="009522D1">
        <w:rPr>
          <w:rFonts w:ascii="Times New Roman" w:hAnsi="Times New Roman"/>
          <w:sz w:val="20"/>
        </w:rPr>
        <w:t xml:space="preserve">. </w:t>
      </w:r>
    </w:p>
    <w:p w14:paraId="627164FA" w14:textId="6BBB358F" w:rsidR="00EF56B3" w:rsidRDefault="009522D1" w:rsidP="009522D1">
      <w:pPr>
        <w:spacing w:before="240"/>
        <w:rPr>
          <w:rFonts w:ascii="Times New Roman" w:hAnsi="Times New Roman"/>
          <w:sz w:val="20"/>
        </w:rPr>
      </w:pPr>
      <w:r w:rsidRPr="009522D1">
        <w:rPr>
          <w:rFonts w:ascii="Times New Roman" w:hAnsi="Times New Roman"/>
          <w:sz w:val="20"/>
        </w:rPr>
        <w:t xml:space="preserve">On the other hand, a service specific selection strategy is a more conservative option, where the UE </w:t>
      </w:r>
      <w:r>
        <w:rPr>
          <w:rFonts w:ascii="Times New Roman" w:hAnsi="Times New Roman"/>
          <w:sz w:val="20"/>
        </w:rPr>
        <w:t>can choose</w:t>
      </w:r>
      <w:r w:rsidRPr="009522D1">
        <w:rPr>
          <w:rFonts w:ascii="Times New Roman" w:hAnsi="Times New Roman"/>
          <w:sz w:val="20"/>
        </w:rPr>
        <w:t xml:space="preserve"> the set of CCs for transmission based on the V2X service </w:t>
      </w:r>
      <w:r>
        <w:rPr>
          <w:rFonts w:ascii="Times New Roman" w:hAnsi="Times New Roman"/>
          <w:sz w:val="20"/>
        </w:rPr>
        <w:t>(</w:t>
      </w:r>
      <w:r w:rsidR="00031DC4">
        <w:rPr>
          <w:rFonts w:ascii="Times New Roman" w:hAnsi="Times New Roman"/>
          <w:sz w:val="20"/>
        </w:rPr>
        <w:t>and a set of associated priorities, if defined</w:t>
      </w:r>
      <w:r>
        <w:rPr>
          <w:rFonts w:ascii="Times New Roman" w:hAnsi="Times New Roman"/>
          <w:sz w:val="20"/>
        </w:rPr>
        <w:t xml:space="preserve">) </w:t>
      </w:r>
      <w:r w:rsidR="00031DC4">
        <w:rPr>
          <w:rFonts w:ascii="Times New Roman" w:hAnsi="Times New Roman"/>
          <w:sz w:val="20"/>
        </w:rPr>
        <w:t xml:space="preserve">semi-statically </w:t>
      </w:r>
      <w:r>
        <w:rPr>
          <w:rFonts w:ascii="Times New Roman" w:hAnsi="Times New Roman"/>
          <w:sz w:val="20"/>
        </w:rPr>
        <w:t>and</w:t>
      </w:r>
      <w:r w:rsidR="00031DC4">
        <w:rPr>
          <w:rFonts w:ascii="Times New Roman" w:hAnsi="Times New Roman"/>
          <w:sz w:val="20"/>
        </w:rPr>
        <w:t xml:space="preserve"> </w:t>
      </w:r>
      <w:r w:rsidR="004D467F">
        <w:rPr>
          <w:rFonts w:ascii="Times New Roman" w:hAnsi="Times New Roman"/>
          <w:sz w:val="20"/>
        </w:rPr>
        <w:t>any</w:t>
      </w:r>
      <w:r w:rsidR="004D467F" w:rsidRPr="009522D1">
        <w:rPr>
          <w:rFonts w:ascii="Times New Roman" w:hAnsi="Times New Roman"/>
          <w:sz w:val="20"/>
        </w:rPr>
        <w:t xml:space="preserve"> </w:t>
      </w:r>
      <w:r w:rsidRPr="009522D1">
        <w:rPr>
          <w:rFonts w:ascii="Times New Roman" w:hAnsi="Times New Roman"/>
          <w:sz w:val="20"/>
        </w:rPr>
        <w:t xml:space="preserve">packets generated by that service would </w:t>
      </w:r>
      <w:r w:rsidR="003B10C1">
        <w:rPr>
          <w:rFonts w:ascii="Times New Roman" w:hAnsi="Times New Roman"/>
          <w:sz w:val="20"/>
        </w:rPr>
        <w:t xml:space="preserve">then </w:t>
      </w:r>
      <w:r w:rsidRPr="009522D1">
        <w:rPr>
          <w:rFonts w:ascii="Times New Roman" w:hAnsi="Times New Roman"/>
          <w:sz w:val="20"/>
        </w:rPr>
        <w:t xml:space="preserve">utilize the same set of CCs. </w:t>
      </w:r>
      <w:r w:rsidR="004D467F">
        <w:rPr>
          <w:rFonts w:ascii="Times New Roman" w:hAnsi="Times New Roman"/>
          <w:sz w:val="20"/>
        </w:rPr>
        <w:t xml:space="preserve">Any subsequent reselection of carriers would be dependent on other factors (discussed in 2.2), including the case when resource reselection is triggered for a particular carrier. </w:t>
      </w:r>
      <w:r w:rsidR="00EF56B3">
        <w:rPr>
          <w:rFonts w:ascii="Times New Roman" w:hAnsi="Times New Roman"/>
          <w:sz w:val="20"/>
        </w:rPr>
        <w:t>This is also aligned with RAN1 working assumptions from RAN1#90</w:t>
      </w:r>
      <w:r w:rsidR="00B14489">
        <w:rPr>
          <w:rFonts w:ascii="Times New Roman" w:hAnsi="Times New Roman"/>
          <w:sz w:val="20"/>
        </w:rPr>
        <w:t xml:space="preserve">bis </w:t>
      </w:r>
      <w:sdt>
        <w:sdtPr>
          <w:rPr>
            <w:rFonts w:ascii="Times New Roman" w:hAnsi="Times New Roman"/>
            <w:sz w:val="20"/>
          </w:rPr>
          <w:id w:val="22220509"/>
          <w:citation/>
        </w:sdtPr>
        <w:sdtEndPr/>
        <w:sdtContent>
          <w:r w:rsidR="00B14489">
            <w:rPr>
              <w:rFonts w:ascii="Times New Roman" w:hAnsi="Times New Roman"/>
              <w:sz w:val="20"/>
            </w:rPr>
            <w:fldChar w:fldCharType="begin"/>
          </w:r>
          <w:r w:rsidR="00B14489">
            <w:rPr>
              <w:rFonts w:ascii="Times New Roman" w:hAnsi="Times New Roman"/>
              <w:sz w:val="20"/>
            </w:rPr>
            <w:instrText xml:space="preserve"> CITATION RAN190bis \l 1033 </w:instrText>
          </w:r>
          <w:r w:rsidR="00B14489">
            <w:rPr>
              <w:rFonts w:ascii="Times New Roman" w:hAnsi="Times New Roman"/>
              <w:sz w:val="20"/>
            </w:rPr>
            <w:fldChar w:fldCharType="separate"/>
          </w:r>
          <w:r w:rsidR="00B14489" w:rsidRPr="00B14489">
            <w:rPr>
              <w:rFonts w:ascii="Times New Roman" w:hAnsi="Times New Roman"/>
              <w:noProof/>
              <w:sz w:val="20"/>
            </w:rPr>
            <w:t>[2]</w:t>
          </w:r>
          <w:r w:rsidR="00B14489">
            <w:rPr>
              <w:rFonts w:ascii="Times New Roman" w:hAnsi="Times New Roman"/>
              <w:sz w:val="20"/>
            </w:rPr>
            <w:fldChar w:fldCharType="end"/>
          </w:r>
        </w:sdtContent>
      </w:sdt>
      <w:r w:rsidR="00EF56B3">
        <w:rPr>
          <w:rFonts w:ascii="Times New Roman" w:hAnsi="Times New Roman"/>
          <w:sz w:val="20"/>
        </w:rPr>
        <w:t>:</w:t>
      </w:r>
    </w:p>
    <w:tbl>
      <w:tblPr>
        <w:tblStyle w:val="TableGrid"/>
        <w:tblW w:w="0" w:type="auto"/>
        <w:tblLook w:val="04A0" w:firstRow="1" w:lastRow="0" w:firstColumn="1" w:lastColumn="0" w:noHBand="0" w:noVBand="1"/>
      </w:tblPr>
      <w:tblGrid>
        <w:gridCol w:w="9629"/>
      </w:tblGrid>
      <w:tr w:rsidR="00A95EF6" w14:paraId="47C22679" w14:textId="77777777" w:rsidTr="00A95EF6">
        <w:tc>
          <w:tcPr>
            <w:tcW w:w="9629" w:type="dxa"/>
          </w:tcPr>
          <w:p w14:paraId="40E042C0" w14:textId="77777777" w:rsidR="00A95EF6" w:rsidRPr="006D5A56" w:rsidRDefault="00A95EF6" w:rsidP="00A95EF6">
            <w:pPr>
              <w:ind w:left="1440" w:hanging="1440"/>
              <w:rPr>
                <w:rFonts w:ascii="Times New Roman" w:hAnsi="Times New Roman"/>
                <w:sz w:val="20"/>
              </w:rPr>
            </w:pPr>
            <w:r w:rsidRPr="006D5A56">
              <w:rPr>
                <w:rFonts w:ascii="Times New Roman" w:hAnsi="Times New Roman"/>
                <w:sz w:val="20"/>
                <w:highlight w:val="darkYellow"/>
              </w:rPr>
              <w:t>Working assumption</w:t>
            </w:r>
            <w:r w:rsidRPr="006D5A56">
              <w:rPr>
                <w:rFonts w:ascii="Times New Roman" w:hAnsi="Times New Roman"/>
                <w:sz w:val="20"/>
              </w:rPr>
              <w:t>:</w:t>
            </w:r>
          </w:p>
          <w:p w14:paraId="766D922B" w14:textId="77777777" w:rsidR="00A95EF6" w:rsidRPr="006D5A56" w:rsidRDefault="00A95EF6" w:rsidP="00A95EF6">
            <w:pPr>
              <w:numPr>
                <w:ilvl w:val="0"/>
                <w:numId w:val="15"/>
              </w:numPr>
              <w:spacing w:after="0" w:line="240" w:lineRule="auto"/>
              <w:rPr>
                <w:rFonts w:ascii="Times New Roman" w:hAnsi="Times New Roman"/>
                <w:sz w:val="20"/>
              </w:rPr>
            </w:pPr>
            <w:r w:rsidRPr="006D5A56">
              <w:rPr>
                <w:rFonts w:ascii="Times New Roman" w:hAnsi="Times New Roman"/>
                <w:sz w:val="20"/>
              </w:rPr>
              <w:t xml:space="preserve">For a given MAC PDU, RAN1 assumes that a single carrier is provided by higher layer for its transmission. </w:t>
            </w:r>
          </w:p>
          <w:p w14:paraId="648D7454" w14:textId="77777777" w:rsidR="00A95EF6" w:rsidRPr="006D5A56" w:rsidRDefault="00A95EF6" w:rsidP="00A95EF6">
            <w:pPr>
              <w:numPr>
                <w:ilvl w:val="0"/>
                <w:numId w:val="15"/>
              </w:numPr>
              <w:spacing w:after="0" w:line="240" w:lineRule="auto"/>
              <w:rPr>
                <w:rFonts w:ascii="Times New Roman" w:hAnsi="Times New Roman"/>
                <w:sz w:val="20"/>
              </w:rPr>
            </w:pPr>
            <w:r w:rsidRPr="006D5A56">
              <w:rPr>
                <w:rFonts w:ascii="Times New Roman" w:hAnsi="Times New Roman"/>
                <w:sz w:val="20"/>
              </w:rPr>
              <w:t xml:space="preserve">From RAN1 perspective, the following factors can be taken into account for TX carrier selection.  </w:t>
            </w:r>
          </w:p>
          <w:p w14:paraId="21B4AC55" w14:textId="77777777" w:rsidR="00A95EF6" w:rsidRPr="006D5A56" w:rsidRDefault="00A95EF6" w:rsidP="00A95EF6">
            <w:pPr>
              <w:numPr>
                <w:ilvl w:val="1"/>
                <w:numId w:val="15"/>
              </w:numPr>
              <w:spacing w:after="0" w:line="240" w:lineRule="auto"/>
              <w:rPr>
                <w:rFonts w:ascii="Times New Roman" w:hAnsi="Times New Roman"/>
                <w:sz w:val="20"/>
              </w:rPr>
            </w:pPr>
            <w:r w:rsidRPr="006D5A56">
              <w:rPr>
                <w:rFonts w:ascii="Times New Roman" w:hAnsi="Times New Roman"/>
                <w:sz w:val="20"/>
              </w:rPr>
              <w:t>CBR</w:t>
            </w:r>
          </w:p>
          <w:p w14:paraId="2B440F59" w14:textId="77777777" w:rsidR="00A95EF6" w:rsidRPr="006D5A56" w:rsidRDefault="00A95EF6" w:rsidP="00A95EF6">
            <w:pPr>
              <w:numPr>
                <w:ilvl w:val="1"/>
                <w:numId w:val="15"/>
              </w:numPr>
              <w:spacing w:after="0" w:line="240" w:lineRule="auto"/>
              <w:rPr>
                <w:rFonts w:ascii="Times New Roman" w:hAnsi="Times New Roman"/>
                <w:sz w:val="20"/>
              </w:rPr>
            </w:pPr>
            <w:r w:rsidRPr="006D5A56">
              <w:rPr>
                <w:rFonts w:ascii="Times New Roman" w:hAnsi="Times New Roman"/>
                <w:sz w:val="20"/>
              </w:rPr>
              <w:t>UE capability (e.g. number of TX chains, implementation related aspects such as power budget sharing capability, TX chain retuning capability)</w:t>
            </w:r>
          </w:p>
          <w:p w14:paraId="6D0D9455" w14:textId="77777777" w:rsidR="00A95EF6" w:rsidRPr="006D5A56" w:rsidRDefault="00A95EF6" w:rsidP="00A95EF6">
            <w:pPr>
              <w:numPr>
                <w:ilvl w:val="0"/>
                <w:numId w:val="15"/>
              </w:numPr>
              <w:spacing w:after="0" w:line="240" w:lineRule="auto"/>
              <w:rPr>
                <w:rFonts w:ascii="Times New Roman" w:hAnsi="Times New Roman"/>
                <w:sz w:val="20"/>
              </w:rPr>
            </w:pPr>
            <w:r w:rsidRPr="006D5A56">
              <w:rPr>
                <w:rFonts w:ascii="Times New Roman" w:hAnsi="Times New Roman"/>
                <w:sz w:val="20"/>
              </w:rPr>
              <w:t>For a given MAC PDU, a single carrier is used for transmission and potential retransmission of this MAC PDU.</w:t>
            </w:r>
          </w:p>
          <w:p w14:paraId="3D007A43" w14:textId="77777777" w:rsidR="00A95EF6" w:rsidRPr="006D5A56" w:rsidRDefault="00A95EF6" w:rsidP="00A95EF6">
            <w:pPr>
              <w:numPr>
                <w:ilvl w:val="0"/>
                <w:numId w:val="15"/>
              </w:numPr>
              <w:spacing w:after="0" w:line="240" w:lineRule="auto"/>
              <w:rPr>
                <w:rFonts w:ascii="Times New Roman" w:hAnsi="Times New Roman"/>
                <w:sz w:val="20"/>
                <w:highlight w:val="yellow"/>
              </w:rPr>
            </w:pPr>
            <w:r w:rsidRPr="006D5A56">
              <w:rPr>
                <w:rFonts w:ascii="Times New Roman" w:hAnsi="Times New Roman"/>
                <w:sz w:val="20"/>
                <w:highlight w:val="yellow"/>
              </w:rPr>
              <w:t xml:space="preserve">From RAN1 perspective, once a carrier is selected, the same carrier is used for all MAC PDUs of the same sidelink process at least until resource reselection is triggered for that same sidelink process based on Rel-14 triggering conditions. </w:t>
            </w:r>
          </w:p>
          <w:p w14:paraId="10D374E0" w14:textId="77777777" w:rsidR="00A95EF6" w:rsidRDefault="00A95EF6" w:rsidP="006D5A56">
            <w:pPr>
              <w:numPr>
                <w:ilvl w:val="1"/>
                <w:numId w:val="15"/>
              </w:numPr>
              <w:spacing w:after="0" w:line="240" w:lineRule="auto"/>
              <w:rPr>
                <w:rFonts w:ascii="Times New Roman" w:hAnsi="Times New Roman"/>
                <w:sz w:val="20"/>
              </w:rPr>
            </w:pPr>
            <w:r w:rsidRPr="006D5A56">
              <w:rPr>
                <w:rFonts w:ascii="Times New Roman" w:hAnsi="Times New Roman"/>
                <w:sz w:val="20"/>
              </w:rPr>
              <w:t>Note that the UE is not precluded to switch transmission chains between component carriers for different sidelink processes</w:t>
            </w:r>
          </w:p>
          <w:p w14:paraId="56FD2004" w14:textId="68D364EB" w:rsidR="00A95EF6" w:rsidRDefault="00A95EF6" w:rsidP="006D5A56">
            <w:pPr>
              <w:spacing w:after="0" w:line="240" w:lineRule="auto"/>
              <w:rPr>
                <w:rFonts w:ascii="Times New Roman" w:hAnsi="Times New Roman"/>
                <w:sz w:val="20"/>
              </w:rPr>
            </w:pPr>
          </w:p>
        </w:tc>
      </w:tr>
    </w:tbl>
    <w:p w14:paraId="39849CAD" w14:textId="49A5DE85" w:rsidR="009522D1" w:rsidRPr="009522D1" w:rsidRDefault="004D467F" w:rsidP="009522D1">
      <w:pPr>
        <w:spacing w:before="240"/>
        <w:rPr>
          <w:rFonts w:ascii="Times New Roman" w:hAnsi="Times New Roman"/>
          <w:sz w:val="20"/>
        </w:rPr>
      </w:pPr>
      <w:r>
        <w:rPr>
          <w:rFonts w:ascii="Times New Roman" w:hAnsi="Times New Roman"/>
          <w:sz w:val="20"/>
        </w:rPr>
        <w:lastRenderedPageBreak/>
        <w:t>Note that f</w:t>
      </w:r>
      <w:r w:rsidR="001231E8">
        <w:rPr>
          <w:rFonts w:ascii="Times New Roman" w:hAnsi="Times New Roman"/>
          <w:sz w:val="20"/>
        </w:rPr>
        <w:t>rom the above set of assumptions, it is clear that RAN1 expects a semi-static selection of TX carrier per SL process, rather than a more dynamic</w:t>
      </w:r>
      <w:r w:rsidR="00277491">
        <w:rPr>
          <w:rFonts w:ascii="Times New Roman" w:hAnsi="Times New Roman"/>
          <w:sz w:val="20"/>
        </w:rPr>
        <w:t xml:space="preserve"> </w:t>
      </w:r>
      <w:r w:rsidR="001231E8">
        <w:rPr>
          <w:rFonts w:ascii="Times New Roman" w:hAnsi="Times New Roman"/>
          <w:sz w:val="20"/>
        </w:rPr>
        <w:t>selection procedure</w:t>
      </w:r>
      <w:r w:rsidR="00277491">
        <w:rPr>
          <w:rFonts w:ascii="Times New Roman" w:hAnsi="Times New Roman"/>
          <w:sz w:val="20"/>
        </w:rPr>
        <w:t xml:space="preserve"> based on CBR and PPPP value</w:t>
      </w:r>
      <w:r w:rsidR="008D1C92">
        <w:rPr>
          <w:rFonts w:ascii="Times New Roman" w:hAnsi="Times New Roman"/>
          <w:sz w:val="20"/>
        </w:rPr>
        <w:t xml:space="preserve"> for each packet</w:t>
      </w:r>
      <w:r w:rsidR="001231E8">
        <w:rPr>
          <w:rFonts w:ascii="Times New Roman" w:hAnsi="Times New Roman"/>
          <w:sz w:val="20"/>
        </w:rPr>
        <w:t>.</w:t>
      </w:r>
      <w:r>
        <w:rPr>
          <w:rFonts w:ascii="Times New Roman" w:hAnsi="Times New Roman"/>
          <w:sz w:val="20"/>
        </w:rPr>
        <w:t xml:space="preserve"> So, we propose to discuss and possibly confirm this aspect in RAN2.</w:t>
      </w:r>
    </w:p>
    <w:p w14:paraId="3C25209A" w14:textId="3C1D999A" w:rsidR="00BA2A04" w:rsidRPr="00031DC4" w:rsidRDefault="00BA2A04" w:rsidP="00031DC4">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w:t>
      </w:r>
      <w:r w:rsidR="00180FB1">
        <w:rPr>
          <w:rFonts w:ascii="Times New Roman" w:eastAsia="Times New Roman" w:hAnsi="Times New Roman"/>
          <w:b/>
          <w:bCs/>
          <w:sz w:val="20"/>
          <w:szCs w:val="20"/>
          <w:u w:val="single"/>
          <w:lang w:val="en-GB" w:eastAsia="zh-CN"/>
        </w:rPr>
        <w:t xml:space="preserve">roposal </w:t>
      </w:r>
      <w:r w:rsidR="00A86A0A">
        <w:rPr>
          <w:rFonts w:ascii="Times New Roman" w:eastAsia="Times New Roman" w:hAnsi="Times New Roman"/>
          <w:b/>
          <w:bCs/>
          <w:sz w:val="20"/>
          <w:szCs w:val="20"/>
          <w:u w:val="single"/>
          <w:lang w:val="en-GB" w:eastAsia="zh-CN"/>
        </w:rPr>
        <w:t>1</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RAN2 should discuss </w:t>
      </w:r>
      <w:r w:rsidR="008A7A99">
        <w:rPr>
          <w:rFonts w:ascii="Times New Roman" w:eastAsia="Times New Roman" w:hAnsi="Times New Roman"/>
          <w:bCs/>
          <w:i/>
          <w:sz w:val="20"/>
          <w:szCs w:val="20"/>
          <w:lang w:val="en-GB" w:eastAsia="zh-CN"/>
        </w:rPr>
        <w:t xml:space="preserve">and confirm that </w:t>
      </w:r>
      <w:r>
        <w:rPr>
          <w:rFonts w:ascii="Times New Roman" w:eastAsia="Times New Roman" w:hAnsi="Times New Roman"/>
          <w:bCs/>
          <w:i/>
          <w:sz w:val="20"/>
          <w:szCs w:val="20"/>
          <w:lang w:val="en-GB" w:eastAsia="zh-CN"/>
        </w:rPr>
        <w:t xml:space="preserve">the CA carrier selection mechanism </w:t>
      </w:r>
      <w:r w:rsidR="00031DC4">
        <w:rPr>
          <w:rFonts w:ascii="Times New Roman" w:eastAsia="Times New Roman" w:hAnsi="Times New Roman"/>
          <w:bCs/>
          <w:i/>
          <w:sz w:val="20"/>
          <w:szCs w:val="20"/>
          <w:lang w:val="en-GB" w:eastAsia="zh-CN"/>
        </w:rPr>
        <w:t xml:space="preserve">being considered </w:t>
      </w:r>
      <w:r>
        <w:rPr>
          <w:rFonts w:ascii="Times New Roman" w:eastAsia="Times New Roman" w:hAnsi="Times New Roman"/>
          <w:bCs/>
          <w:i/>
          <w:sz w:val="20"/>
          <w:szCs w:val="20"/>
          <w:lang w:val="en-GB" w:eastAsia="zh-CN"/>
        </w:rPr>
        <w:t xml:space="preserve">for </w:t>
      </w:r>
      <w:r w:rsidR="00031DC4">
        <w:rPr>
          <w:rFonts w:ascii="Times New Roman" w:eastAsia="Times New Roman" w:hAnsi="Times New Roman"/>
          <w:bCs/>
          <w:i/>
          <w:sz w:val="20"/>
          <w:szCs w:val="20"/>
          <w:lang w:val="en-GB" w:eastAsia="zh-CN"/>
        </w:rPr>
        <w:t>Rel-15 V2X</w:t>
      </w:r>
      <w:r>
        <w:rPr>
          <w:rFonts w:ascii="Times New Roman" w:eastAsia="Times New Roman" w:hAnsi="Times New Roman"/>
          <w:bCs/>
          <w:i/>
          <w:sz w:val="20"/>
          <w:szCs w:val="20"/>
          <w:lang w:val="en-GB" w:eastAsia="zh-CN"/>
        </w:rPr>
        <w:t xml:space="preserve"> </w:t>
      </w:r>
      <w:r w:rsidR="000E5A33">
        <w:rPr>
          <w:rFonts w:ascii="Times New Roman" w:eastAsia="Times New Roman" w:hAnsi="Times New Roman"/>
          <w:bCs/>
          <w:i/>
          <w:sz w:val="20"/>
          <w:szCs w:val="20"/>
          <w:lang w:val="en-GB" w:eastAsia="zh-CN"/>
        </w:rPr>
        <w:t xml:space="preserve">should be </w:t>
      </w:r>
      <w:r w:rsidR="009F0649">
        <w:rPr>
          <w:rFonts w:ascii="Times New Roman" w:eastAsia="Times New Roman" w:hAnsi="Times New Roman"/>
          <w:bCs/>
          <w:i/>
          <w:sz w:val="20"/>
          <w:szCs w:val="20"/>
          <w:lang w:val="en-GB" w:eastAsia="zh-CN"/>
        </w:rPr>
        <w:t>performed semi-statically (</w:t>
      </w:r>
      <w:r>
        <w:rPr>
          <w:rFonts w:ascii="Times New Roman" w:eastAsia="Times New Roman" w:hAnsi="Times New Roman"/>
          <w:bCs/>
          <w:i/>
          <w:sz w:val="20"/>
          <w:szCs w:val="20"/>
          <w:lang w:val="en-GB" w:eastAsia="zh-CN"/>
        </w:rPr>
        <w:t xml:space="preserve">service </w:t>
      </w:r>
      <w:r w:rsidR="009F0649">
        <w:rPr>
          <w:rFonts w:ascii="Times New Roman" w:eastAsia="Times New Roman" w:hAnsi="Times New Roman"/>
          <w:bCs/>
          <w:i/>
          <w:sz w:val="20"/>
          <w:szCs w:val="20"/>
          <w:lang w:val="en-GB" w:eastAsia="zh-CN"/>
        </w:rPr>
        <w:t>specific)</w:t>
      </w:r>
      <w:r>
        <w:rPr>
          <w:rFonts w:ascii="Times New Roman" w:eastAsia="Times New Roman" w:hAnsi="Times New Roman"/>
          <w:bCs/>
          <w:i/>
          <w:sz w:val="20"/>
          <w:szCs w:val="20"/>
          <w:lang w:val="en-GB" w:eastAsia="zh-CN"/>
        </w:rPr>
        <w:t>.</w:t>
      </w:r>
    </w:p>
    <w:p w14:paraId="6F725A14" w14:textId="567A0257" w:rsidR="00DB06BC" w:rsidRPr="00F9599A" w:rsidRDefault="00DB06BC" w:rsidP="00DB06BC">
      <w:pPr>
        <w:widowControl w:val="0"/>
        <w:tabs>
          <w:tab w:val="left" w:pos="907"/>
        </w:tabs>
        <w:spacing w:before="240" w:after="60" w:line="240" w:lineRule="auto"/>
        <w:ind w:left="907" w:hanging="907"/>
        <w:outlineLvl w:val="2"/>
        <w:rPr>
          <w:rFonts w:ascii="Arial" w:eastAsia="MS Mincho" w:hAnsi="Arial" w:cs="Arial"/>
          <w:bCs/>
          <w:sz w:val="26"/>
          <w:szCs w:val="26"/>
          <w:lang w:val="en-GB" w:eastAsia="en-GB"/>
        </w:rPr>
      </w:pPr>
      <w:r>
        <w:rPr>
          <w:rFonts w:ascii="Arial" w:eastAsia="MS Mincho" w:hAnsi="Arial" w:cs="Arial"/>
          <w:bCs/>
          <w:sz w:val="26"/>
          <w:szCs w:val="26"/>
          <w:lang w:val="en-GB" w:eastAsia="en-GB"/>
        </w:rPr>
        <w:t>2.2</w:t>
      </w:r>
      <w:r w:rsidRPr="00F9599A">
        <w:rPr>
          <w:rFonts w:ascii="Arial" w:eastAsia="MS Mincho" w:hAnsi="Arial" w:cs="Arial"/>
          <w:bCs/>
          <w:sz w:val="26"/>
          <w:szCs w:val="26"/>
          <w:lang w:val="en-GB" w:eastAsia="en-GB"/>
        </w:rPr>
        <w:tab/>
      </w:r>
      <w:r>
        <w:rPr>
          <w:rFonts w:ascii="Arial" w:eastAsia="MS Mincho" w:hAnsi="Arial" w:cs="Arial"/>
          <w:bCs/>
          <w:sz w:val="26"/>
          <w:szCs w:val="26"/>
          <w:lang w:val="en-GB" w:eastAsia="en-GB"/>
        </w:rPr>
        <w:t>Triggers for carrier reselection</w:t>
      </w:r>
    </w:p>
    <w:p w14:paraId="24332F4C" w14:textId="01752142" w:rsidR="00031DC4" w:rsidRDefault="00031DC4" w:rsidP="009522D1">
      <w:pPr>
        <w:spacing w:before="240"/>
        <w:rPr>
          <w:rFonts w:ascii="Times New Roman" w:hAnsi="Times New Roman"/>
          <w:sz w:val="20"/>
        </w:rPr>
      </w:pPr>
      <w:r>
        <w:rPr>
          <w:rFonts w:ascii="Times New Roman" w:hAnsi="Times New Roman"/>
          <w:sz w:val="20"/>
        </w:rPr>
        <w:t xml:space="preserve">Based on the above discussion, </w:t>
      </w:r>
      <w:r w:rsidR="007C0F9F">
        <w:rPr>
          <w:rFonts w:ascii="Times New Roman" w:hAnsi="Times New Roman"/>
          <w:sz w:val="20"/>
        </w:rPr>
        <w:t>the following</w:t>
      </w:r>
      <w:r>
        <w:rPr>
          <w:rFonts w:ascii="Times New Roman" w:hAnsi="Times New Roman"/>
          <w:sz w:val="20"/>
        </w:rPr>
        <w:t xml:space="preserve"> set of </w:t>
      </w:r>
      <w:r w:rsidR="007C0F9F">
        <w:rPr>
          <w:rFonts w:ascii="Times New Roman" w:hAnsi="Times New Roman"/>
          <w:sz w:val="20"/>
        </w:rPr>
        <w:t xml:space="preserve">scenarios or </w:t>
      </w:r>
      <w:r>
        <w:rPr>
          <w:rFonts w:ascii="Times New Roman" w:hAnsi="Times New Roman"/>
          <w:sz w:val="20"/>
        </w:rPr>
        <w:t xml:space="preserve">‘triggers’ </w:t>
      </w:r>
      <w:r w:rsidR="006650AB">
        <w:rPr>
          <w:rFonts w:ascii="Times New Roman" w:hAnsi="Times New Roman"/>
          <w:sz w:val="20"/>
        </w:rPr>
        <w:t xml:space="preserve">can be identified </w:t>
      </w:r>
      <w:r w:rsidR="00CD39A2">
        <w:rPr>
          <w:rFonts w:ascii="Times New Roman" w:hAnsi="Times New Roman"/>
          <w:sz w:val="20"/>
        </w:rPr>
        <w:t>which</w:t>
      </w:r>
      <w:r>
        <w:rPr>
          <w:rFonts w:ascii="Times New Roman" w:hAnsi="Times New Roman"/>
          <w:sz w:val="20"/>
        </w:rPr>
        <w:t xml:space="preserve"> </w:t>
      </w:r>
      <w:r w:rsidR="002E1794">
        <w:rPr>
          <w:rFonts w:ascii="Times New Roman" w:hAnsi="Times New Roman"/>
          <w:sz w:val="20"/>
        </w:rPr>
        <w:t xml:space="preserve">would </w:t>
      </w:r>
      <w:r>
        <w:rPr>
          <w:rFonts w:ascii="Times New Roman" w:hAnsi="Times New Roman"/>
          <w:sz w:val="20"/>
        </w:rPr>
        <w:t>require the AS layer to perform</w:t>
      </w:r>
      <w:r w:rsidR="0030763F">
        <w:rPr>
          <w:rFonts w:ascii="Times New Roman" w:hAnsi="Times New Roman"/>
          <w:sz w:val="20"/>
        </w:rPr>
        <w:t xml:space="preserve"> the</w:t>
      </w:r>
      <w:r>
        <w:rPr>
          <w:rFonts w:ascii="Times New Roman" w:hAnsi="Times New Roman"/>
          <w:sz w:val="20"/>
        </w:rPr>
        <w:t xml:space="preserve"> carrier </w:t>
      </w:r>
      <w:r w:rsidR="0040666E">
        <w:rPr>
          <w:rFonts w:ascii="Times New Roman" w:hAnsi="Times New Roman"/>
          <w:sz w:val="20"/>
        </w:rPr>
        <w:t>(re)</w:t>
      </w:r>
      <w:r>
        <w:rPr>
          <w:rFonts w:ascii="Times New Roman" w:hAnsi="Times New Roman"/>
          <w:sz w:val="20"/>
        </w:rPr>
        <w:t>selection proced</w:t>
      </w:r>
      <w:r w:rsidR="007C0F9F">
        <w:rPr>
          <w:rFonts w:ascii="Times New Roman" w:hAnsi="Times New Roman"/>
          <w:sz w:val="20"/>
        </w:rPr>
        <w:t>ure:</w:t>
      </w:r>
    </w:p>
    <w:p w14:paraId="5F54E12B" w14:textId="0C77D236" w:rsidR="0040666E" w:rsidRDefault="0040666E" w:rsidP="006D5A56">
      <w:pPr>
        <w:numPr>
          <w:ilvl w:val="0"/>
          <w:numId w:val="16"/>
        </w:numPr>
        <w:spacing w:before="240" w:line="240" w:lineRule="auto"/>
        <w:rPr>
          <w:rFonts w:ascii="Times New Roman" w:hAnsi="Times New Roman"/>
          <w:sz w:val="20"/>
        </w:rPr>
      </w:pPr>
      <w:r>
        <w:rPr>
          <w:rFonts w:ascii="Times New Roman" w:hAnsi="Times New Roman"/>
          <w:sz w:val="20"/>
        </w:rPr>
        <w:t xml:space="preserve">Whenever resource reselection for any particular carrier being used for transmission is triggered. This is based on legacy Rel-14 behavior </w:t>
      </w:r>
      <w:r w:rsidR="00057AFC">
        <w:rPr>
          <w:rFonts w:ascii="Times New Roman" w:hAnsi="Times New Roman"/>
          <w:sz w:val="20"/>
        </w:rPr>
        <w:t xml:space="preserve">and RAN1 assumption </w:t>
      </w:r>
      <w:r>
        <w:rPr>
          <w:rFonts w:ascii="Times New Roman" w:hAnsi="Times New Roman"/>
          <w:sz w:val="20"/>
        </w:rPr>
        <w:t>where L1 may trigger reselection based on indication from upper layers or in a probabilistic fashion.</w:t>
      </w:r>
    </w:p>
    <w:p w14:paraId="00FF415C" w14:textId="2B6F1648" w:rsidR="007C0F9F" w:rsidRPr="009522D1" w:rsidRDefault="007C0F9F" w:rsidP="006D5A56">
      <w:pPr>
        <w:numPr>
          <w:ilvl w:val="0"/>
          <w:numId w:val="16"/>
        </w:numPr>
        <w:spacing w:before="240" w:line="240" w:lineRule="auto"/>
        <w:rPr>
          <w:rFonts w:ascii="Times New Roman" w:hAnsi="Times New Roman"/>
          <w:sz w:val="20"/>
        </w:rPr>
      </w:pPr>
      <w:r w:rsidRPr="009522D1">
        <w:rPr>
          <w:rFonts w:ascii="Times New Roman" w:hAnsi="Times New Roman"/>
          <w:sz w:val="20"/>
        </w:rPr>
        <w:t xml:space="preserve">Whenever a new service </w:t>
      </w:r>
      <w:r w:rsidR="00637738">
        <w:rPr>
          <w:rFonts w:ascii="Times New Roman" w:hAnsi="Times New Roman"/>
          <w:sz w:val="20"/>
        </w:rPr>
        <w:t>initiates</w:t>
      </w:r>
      <w:r w:rsidRPr="009522D1">
        <w:rPr>
          <w:rFonts w:ascii="Times New Roman" w:hAnsi="Times New Roman"/>
          <w:sz w:val="20"/>
        </w:rPr>
        <w:t xml:space="preserve"> transmission of V2X packets over sidelink</w:t>
      </w:r>
      <w:r w:rsidR="0095247A">
        <w:rPr>
          <w:rFonts w:ascii="Times New Roman" w:hAnsi="Times New Roman"/>
          <w:sz w:val="20"/>
        </w:rPr>
        <w:t xml:space="preserve">. </w:t>
      </w:r>
      <w:r w:rsidR="00CA1E98">
        <w:rPr>
          <w:rFonts w:ascii="Times New Roman" w:hAnsi="Times New Roman"/>
          <w:sz w:val="20"/>
        </w:rPr>
        <w:t xml:space="preserve">In this case, depending on which carriers are associated to the new service, reselection should be triggered </w:t>
      </w:r>
      <w:r w:rsidR="00535784">
        <w:rPr>
          <w:rFonts w:ascii="Times New Roman" w:hAnsi="Times New Roman"/>
          <w:sz w:val="20"/>
        </w:rPr>
        <w:t xml:space="preserve">for ongoing services </w:t>
      </w:r>
      <w:r w:rsidR="00CA1E98">
        <w:rPr>
          <w:rFonts w:ascii="Times New Roman" w:hAnsi="Times New Roman"/>
          <w:sz w:val="20"/>
        </w:rPr>
        <w:t>to avoid excessive loading of a particular carrier</w:t>
      </w:r>
      <w:r w:rsidR="00746F26">
        <w:rPr>
          <w:rFonts w:ascii="Times New Roman" w:hAnsi="Times New Roman"/>
          <w:sz w:val="20"/>
        </w:rPr>
        <w:t>, e.g. if it is mapped to both the ongoing and the new service.</w:t>
      </w:r>
    </w:p>
    <w:p w14:paraId="1BA6295A" w14:textId="6F6C1C15" w:rsidR="007C0F9F" w:rsidRPr="009522D1" w:rsidRDefault="007C0F9F" w:rsidP="006D5A56">
      <w:pPr>
        <w:numPr>
          <w:ilvl w:val="0"/>
          <w:numId w:val="16"/>
        </w:numPr>
        <w:spacing w:before="240" w:line="240" w:lineRule="auto"/>
        <w:rPr>
          <w:rFonts w:ascii="Times New Roman" w:hAnsi="Times New Roman"/>
          <w:sz w:val="20"/>
        </w:rPr>
      </w:pPr>
      <w:r w:rsidRPr="009522D1">
        <w:rPr>
          <w:rFonts w:ascii="Times New Roman" w:hAnsi="Times New Roman"/>
          <w:sz w:val="20"/>
        </w:rPr>
        <w:t>Based on an expl</w:t>
      </w:r>
      <w:r w:rsidR="002C44D9">
        <w:rPr>
          <w:rFonts w:ascii="Times New Roman" w:hAnsi="Times New Roman"/>
          <w:sz w:val="20"/>
        </w:rPr>
        <w:t>icit timer in the AS layer. A</w:t>
      </w:r>
      <w:r w:rsidRPr="009522D1">
        <w:rPr>
          <w:rFonts w:ascii="Times New Roman" w:hAnsi="Times New Roman"/>
          <w:sz w:val="20"/>
        </w:rPr>
        <w:t xml:space="preserve"> ce</w:t>
      </w:r>
      <w:r>
        <w:rPr>
          <w:rFonts w:ascii="Times New Roman" w:hAnsi="Times New Roman"/>
          <w:sz w:val="20"/>
        </w:rPr>
        <w:t xml:space="preserve">rtain periodicity or a timer </w:t>
      </w:r>
      <w:r w:rsidR="002C44D9">
        <w:rPr>
          <w:rFonts w:ascii="Times New Roman" w:hAnsi="Times New Roman"/>
          <w:sz w:val="20"/>
        </w:rPr>
        <w:t xml:space="preserve">can be </w:t>
      </w:r>
      <w:r w:rsidRPr="009522D1">
        <w:rPr>
          <w:rFonts w:ascii="Times New Roman" w:hAnsi="Times New Roman"/>
          <w:sz w:val="20"/>
        </w:rPr>
        <w:t xml:space="preserve">configured </w:t>
      </w:r>
      <w:r w:rsidR="002C44D9">
        <w:rPr>
          <w:rFonts w:ascii="Times New Roman" w:hAnsi="Times New Roman"/>
          <w:sz w:val="20"/>
        </w:rPr>
        <w:t xml:space="preserve">(either NW configured or up to UE implementation) </w:t>
      </w:r>
      <w:r w:rsidRPr="009522D1">
        <w:rPr>
          <w:rFonts w:ascii="Times New Roman" w:hAnsi="Times New Roman"/>
          <w:sz w:val="20"/>
        </w:rPr>
        <w:t xml:space="preserve">to control how frequently the selection process is triggered or </w:t>
      </w:r>
      <w:r>
        <w:rPr>
          <w:rFonts w:ascii="Times New Roman" w:hAnsi="Times New Roman"/>
          <w:sz w:val="20"/>
        </w:rPr>
        <w:t xml:space="preserve">how long until </w:t>
      </w:r>
      <w:r w:rsidRPr="009522D1">
        <w:rPr>
          <w:rFonts w:ascii="Times New Roman" w:hAnsi="Times New Roman"/>
          <w:sz w:val="20"/>
        </w:rPr>
        <w:t>the sel</w:t>
      </w:r>
      <w:r w:rsidR="002C44D9">
        <w:rPr>
          <w:rFonts w:ascii="Times New Roman" w:hAnsi="Times New Roman"/>
          <w:sz w:val="20"/>
        </w:rPr>
        <w:t>ected carrier is valid.</w:t>
      </w:r>
      <w:r w:rsidR="000A359D">
        <w:rPr>
          <w:rFonts w:ascii="Times New Roman" w:hAnsi="Times New Roman"/>
          <w:sz w:val="20"/>
        </w:rPr>
        <w:t xml:space="preserve"> </w:t>
      </w:r>
      <w:r w:rsidR="00EA7AE2">
        <w:rPr>
          <w:rFonts w:ascii="Times New Roman" w:hAnsi="Times New Roman"/>
          <w:sz w:val="20"/>
        </w:rPr>
        <w:t>Note that this is different from the SL resource reselection counter defined in Rel-14. Depending on the timer configuration, t</w:t>
      </w:r>
      <w:r w:rsidR="000A359D">
        <w:rPr>
          <w:rFonts w:ascii="Times New Roman" w:hAnsi="Times New Roman"/>
          <w:sz w:val="20"/>
        </w:rPr>
        <w:t xml:space="preserve">his </w:t>
      </w:r>
      <w:r w:rsidR="00235C1E">
        <w:rPr>
          <w:rFonts w:ascii="Times New Roman" w:hAnsi="Times New Roman"/>
          <w:sz w:val="20"/>
        </w:rPr>
        <w:t>seek</w:t>
      </w:r>
      <w:r w:rsidR="00E82256">
        <w:rPr>
          <w:rFonts w:ascii="Times New Roman" w:hAnsi="Times New Roman"/>
          <w:sz w:val="20"/>
        </w:rPr>
        <w:t>s</w:t>
      </w:r>
      <w:r w:rsidR="00235C1E">
        <w:rPr>
          <w:rFonts w:ascii="Times New Roman" w:hAnsi="Times New Roman"/>
          <w:sz w:val="20"/>
        </w:rPr>
        <w:t xml:space="preserve"> to strike middle ground</w:t>
      </w:r>
      <w:r w:rsidR="000A359D">
        <w:rPr>
          <w:rFonts w:ascii="Times New Roman" w:hAnsi="Times New Roman"/>
          <w:sz w:val="20"/>
        </w:rPr>
        <w:t xml:space="preserve"> where carrier reselectio</w:t>
      </w:r>
      <w:r w:rsidR="00EA7AE2">
        <w:rPr>
          <w:rFonts w:ascii="Times New Roman" w:hAnsi="Times New Roman"/>
          <w:sz w:val="20"/>
        </w:rPr>
        <w:t xml:space="preserve">n is not triggered too frequently but at the same time, is loosely responsive to </w:t>
      </w:r>
      <w:r w:rsidR="00746F26">
        <w:rPr>
          <w:rFonts w:ascii="Times New Roman" w:hAnsi="Times New Roman"/>
          <w:sz w:val="20"/>
        </w:rPr>
        <w:t>carrier loads</w:t>
      </w:r>
      <w:r w:rsidR="00EA7AE2">
        <w:rPr>
          <w:rFonts w:ascii="Times New Roman" w:hAnsi="Times New Roman"/>
          <w:sz w:val="20"/>
        </w:rPr>
        <w:t xml:space="preserve"> and packet priority.</w:t>
      </w:r>
    </w:p>
    <w:p w14:paraId="40E583F5" w14:textId="5D3C934B" w:rsidR="008B4664" w:rsidRPr="006D5A56" w:rsidRDefault="007C0F9F" w:rsidP="006D5A56">
      <w:pPr>
        <w:pStyle w:val="ListParagraph"/>
        <w:numPr>
          <w:ilvl w:val="0"/>
          <w:numId w:val="16"/>
        </w:numPr>
        <w:spacing w:before="240" w:line="240" w:lineRule="auto"/>
        <w:rPr>
          <w:rFonts w:ascii="Times New Roman" w:hAnsi="Times New Roman"/>
          <w:sz w:val="20"/>
        </w:rPr>
      </w:pPr>
      <w:r w:rsidRPr="006D5A56">
        <w:rPr>
          <w:rFonts w:ascii="Times New Roman" w:hAnsi="Times New Roman"/>
          <w:sz w:val="20"/>
        </w:rPr>
        <w:t xml:space="preserve">If the AS layer receives an explicit indication from the network or higher layers </w:t>
      </w:r>
      <w:r w:rsidR="002C44D9" w:rsidRPr="006D5A56">
        <w:rPr>
          <w:rFonts w:ascii="Times New Roman" w:hAnsi="Times New Roman"/>
          <w:sz w:val="20"/>
        </w:rPr>
        <w:t>to (re)perform the carrier selection</w:t>
      </w:r>
      <w:r w:rsidR="002E75EA" w:rsidRPr="006D5A56">
        <w:rPr>
          <w:rFonts w:ascii="Times New Roman" w:hAnsi="Times New Roman"/>
          <w:sz w:val="20"/>
        </w:rPr>
        <w:t>.</w:t>
      </w:r>
    </w:p>
    <w:p w14:paraId="0E3ED7ED" w14:textId="2E67BE16" w:rsidR="003F3513" w:rsidRDefault="00746F26" w:rsidP="003F3513">
      <w:pPr>
        <w:rPr>
          <w:rFonts w:ascii="Times New Roman" w:hAnsi="Times New Roman"/>
          <w:sz w:val="20"/>
        </w:rPr>
      </w:pPr>
      <w:r>
        <w:rPr>
          <w:rFonts w:ascii="Times New Roman" w:hAnsi="Times New Roman"/>
          <w:sz w:val="20"/>
        </w:rPr>
        <w:t xml:space="preserve">Note that a combination of the above factors can be considered to provide the best tradeoff. </w:t>
      </w:r>
      <w:r w:rsidR="008B4664">
        <w:rPr>
          <w:rFonts w:ascii="Times New Roman" w:hAnsi="Times New Roman"/>
          <w:sz w:val="20"/>
        </w:rPr>
        <w:t xml:space="preserve">Since all these factors involve a close interaction between the AS and upper layers, feedback from SA2 might be needed </w:t>
      </w:r>
      <w:r w:rsidR="00595DB9">
        <w:rPr>
          <w:rFonts w:ascii="Times New Roman" w:hAnsi="Times New Roman"/>
          <w:sz w:val="20"/>
        </w:rPr>
        <w:t>to make progress in</w:t>
      </w:r>
      <w:r w:rsidR="008B4664">
        <w:rPr>
          <w:rFonts w:ascii="Times New Roman" w:hAnsi="Times New Roman"/>
          <w:sz w:val="20"/>
        </w:rPr>
        <w:t xml:space="preserve"> this </w:t>
      </w:r>
      <w:r w:rsidR="00A316A6">
        <w:rPr>
          <w:rFonts w:ascii="Times New Roman" w:hAnsi="Times New Roman"/>
          <w:sz w:val="20"/>
        </w:rPr>
        <w:t>regard</w:t>
      </w:r>
      <w:r w:rsidR="008B4664">
        <w:rPr>
          <w:rFonts w:ascii="Times New Roman" w:hAnsi="Times New Roman"/>
          <w:sz w:val="20"/>
        </w:rPr>
        <w:t>.</w:t>
      </w:r>
    </w:p>
    <w:p w14:paraId="475C7032" w14:textId="31E66F41" w:rsidR="00FA12E6" w:rsidRDefault="00180FB1" w:rsidP="00FA12E6">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 xml:space="preserve">Proposal </w:t>
      </w:r>
      <w:r w:rsidR="00A86A0A">
        <w:rPr>
          <w:rFonts w:ascii="Times New Roman" w:eastAsia="Times New Roman" w:hAnsi="Times New Roman"/>
          <w:b/>
          <w:bCs/>
          <w:sz w:val="20"/>
          <w:szCs w:val="20"/>
          <w:u w:val="single"/>
          <w:lang w:val="en-GB" w:eastAsia="zh-CN"/>
        </w:rPr>
        <w:t>2</w:t>
      </w:r>
      <w:r w:rsidR="0097023E" w:rsidRPr="001C137C">
        <w:rPr>
          <w:rFonts w:ascii="Times New Roman" w:eastAsia="Times New Roman" w:hAnsi="Times New Roman"/>
          <w:b/>
          <w:bCs/>
          <w:sz w:val="20"/>
          <w:szCs w:val="20"/>
          <w:u w:val="single"/>
          <w:lang w:val="en-GB" w:eastAsia="zh-CN"/>
        </w:rPr>
        <w:t>:</w:t>
      </w:r>
      <w:r w:rsidR="0097023E" w:rsidRPr="001C137C">
        <w:rPr>
          <w:rFonts w:ascii="Times New Roman" w:eastAsia="Times New Roman" w:hAnsi="Times New Roman"/>
          <w:b/>
          <w:bCs/>
          <w:sz w:val="20"/>
          <w:szCs w:val="20"/>
          <w:lang w:val="en-GB" w:eastAsia="zh-CN"/>
        </w:rPr>
        <w:tab/>
      </w:r>
      <w:r w:rsidR="007C0F9F">
        <w:rPr>
          <w:rFonts w:ascii="Times New Roman" w:eastAsia="Times New Roman" w:hAnsi="Times New Roman"/>
          <w:bCs/>
          <w:i/>
          <w:sz w:val="20"/>
          <w:szCs w:val="20"/>
          <w:lang w:val="en-GB" w:eastAsia="zh-CN"/>
        </w:rPr>
        <w:t xml:space="preserve">The afore-mentioned factors should be considered </w:t>
      </w:r>
      <w:r w:rsidR="002C44D9">
        <w:rPr>
          <w:rFonts w:ascii="Times New Roman" w:eastAsia="Times New Roman" w:hAnsi="Times New Roman"/>
          <w:bCs/>
          <w:i/>
          <w:sz w:val="20"/>
          <w:szCs w:val="20"/>
          <w:lang w:val="en-GB" w:eastAsia="zh-CN"/>
        </w:rPr>
        <w:t>on</w:t>
      </w:r>
      <w:r w:rsidR="007C0F9F">
        <w:rPr>
          <w:rFonts w:ascii="Times New Roman" w:eastAsia="Times New Roman" w:hAnsi="Times New Roman"/>
          <w:bCs/>
          <w:i/>
          <w:sz w:val="20"/>
          <w:szCs w:val="20"/>
          <w:lang w:val="en-GB" w:eastAsia="zh-CN"/>
        </w:rPr>
        <w:t xml:space="preserve"> when to perform the carrier </w:t>
      </w:r>
      <w:r w:rsidR="00235E18">
        <w:rPr>
          <w:rFonts w:ascii="Times New Roman" w:eastAsia="Times New Roman" w:hAnsi="Times New Roman"/>
          <w:bCs/>
          <w:i/>
          <w:sz w:val="20"/>
          <w:szCs w:val="20"/>
          <w:lang w:val="en-GB" w:eastAsia="zh-CN"/>
        </w:rPr>
        <w:t>re</w:t>
      </w:r>
      <w:r w:rsidR="007C0F9F">
        <w:rPr>
          <w:rFonts w:ascii="Times New Roman" w:eastAsia="Times New Roman" w:hAnsi="Times New Roman"/>
          <w:bCs/>
          <w:i/>
          <w:sz w:val="20"/>
          <w:szCs w:val="20"/>
          <w:lang w:val="en-GB" w:eastAsia="zh-CN"/>
        </w:rPr>
        <w:t>selection procedure at the AS layer</w:t>
      </w:r>
      <w:r w:rsidR="002C44D9">
        <w:rPr>
          <w:rFonts w:ascii="Times New Roman" w:eastAsia="Times New Roman" w:hAnsi="Times New Roman"/>
          <w:bCs/>
          <w:i/>
          <w:sz w:val="20"/>
          <w:szCs w:val="20"/>
          <w:lang w:val="en-GB" w:eastAsia="zh-CN"/>
        </w:rPr>
        <w:t>.</w:t>
      </w:r>
    </w:p>
    <w:p w14:paraId="152B34B8" w14:textId="77777777" w:rsidR="00FA12E6" w:rsidRDefault="00FA12E6" w:rsidP="0097023E">
      <w:pPr>
        <w:ind w:left="1170" w:hanging="1170"/>
        <w:rPr>
          <w:rFonts w:ascii="Times New Roman" w:eastAsia="Times New Roman" w:hAnsi="Times New Roman"/>
          <w:bCs/>
          <w:i/>
          <w:sz w:val="20"/>
          <w:szCs w:val="20"/>
          <w:lang w:val="en-GB" w:eastAsia="zh-CN"/>
        </w:rPr>
      </w:pPr>
    </w:p>
    <w:p w14:paraId="60EF47DF" w14:textId="0E3B805E" w:rsidR="008669B1" w:rsidRDefault="008669B1" w:rsidP="004A4A78">
      <w:pPr>
        <w:pStyle w:val="Tdoc"/>
        <w:ind w:left="-90" w:firstLine="0"/>
      </w:pPr>
      <w:r w:rsidRPr="00E0063E">
        <w:t>Conclusion</w:t>
      </w:r>
    </w:p>
    <w:p w14:paraId="250D672A" w14:textId="00319DEC" w:rsidR="006D136D" w:rsidRDefault="00043F8C" w:rsidP="006D136D">
      <w:pPr>
        <w:rPr>
          <w:rFonts w:ascii="Times New Roman" w:hAnsi="Times New Roman"/>
          <w:sz w:val="20"/>
        </w:rPr>
      </w:pPr>
      <w:r>
        <w:rPr>
          <w:rFonts w:ascii="Times New Roman" w:hAnsi="Times New Roman"/>
          <w:sz w:val="20"/>
        </w:rPr>
        <w:t>This cont</w:t>
      </w:r>
      <w:r w:rsidR="00180FB1">
        <w:rPr>
          <w:rFonts w:ascii="Times New Roman" w:hAnsi="Times New Roman"/>
          <w:sz w:val="20"/>
        </w:rPr>
        <w:t xml:space="preserve">ribution focuses on the TX carrier selection for carrier aggregation over PC5 </w:t>
      </w:r>
      <w:r>
        <w:rPr>
          <w:rFonts w:ascii="Times New Roman" w:hAnsi="Times New Roman"/>
          <w:sz w:val="20"/>
        </w:rPr>
        <w:t xml:space="preserve">and makes the following proposals: </w:t>
      </w:r>
    </w:p>
    <w:p w14:paraId="764AF631" w14:textId="7F863743" w:rsidR="00FE33A2" w:rsidRPr="00031DC4" w:rsidRDefault="00FE33A2" w:rsidP="00FE33A2">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Proposal 1</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sidR="008A7A99">
        <w:rPr>
          <w:rFonts w:ascii="Times New Roman" w:eastAsia="Times New Roman" w:hAnsi="Times New Roman"/>
          <w:bCs/>
          <w:i/>
          <w:sz w:val="20"/>
          <w:szCs w:val="20"/>
          <w:lang w:val="en-GB" w:eastAsia="zh-CN"/>
        </w:rPr>
        <w:t>RAN2 should discuss and confirm that the CA carrier selection mechanism being considered for Rel-15 V2X should be performed semi-statically (service specific).</w:t>
      </w:r>
    </w:p>
    <w:p w14:paraId="0510AA50" w14:textId="6EFE2AD2" w:rsidR="00295334" w:rsidRPr="00493074" w:rsidRDefault="00493074" w:rsidP="00493074">
      <w:pPr>
        <w:ind w:left="1170" w:hanging="1170"/>
        <w:rPr>
          <w:rFonts w:ascii="Times New Roman" w:eastAsia="Times New Roman" w:hAnsi="Times New Roman"/>
          <w:bCs/>
          <w:i/>
          <w:sz w:val="20"/>
          <w:szCs w:val="20"/>
          <w:lang w:val="en-GB" w:eastAsia="zh-CN"/>
        </w:rPr>
      </w:pPr>
      <w:r>
        <w:rPr>
          <w:rFonts w:ascii="Times New Roman" w:eastAsia="Times New Roman" w:hAnsi="Times New Roman"/>
          <w:b/>
          <w:bCs/>
          <w:sz w:val="20"/>
          <w:szCs w:val="20"/>
          <w:u w:val="single"/>
          <w:lang w:val="en-GB" w:eastAsia="zh-CN"/>
        </w:rPr>
        <w:t xml:space="preserve">Proposal </w:t>
      </w:r>
      <w:r w:rsidR="00A86A0A">
        <w:rPr>
          <w:rFonts w:ascii="Times New Roman" w:eastAsia="Times New Roman" w:hAnsi="Times New Roman"/>
          <w:b/>
          <w:bCs/>
          <w:sz w:val="20"/>
          <w:szCs w:val="20"/>
          <w:u w:val="single"/>
          <w:lang w:val="en-GB" w:eastAsia="zh-CN"/>
        </w:rPr>
        <w:t>2</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The afore-mentioned factors should be considered on when to perform the carrier </w:t>
      </w:r>
      <w:r w:rsidR="00A573EA">
        <w:rPr>
          <w:rFonts w:ascii="Times New Roman" w:eastAsia="Times New Roman" w:hAnsi="Times New Roman"/>
          <w:bCs/>
          <w:i/>
          <w:sz w:val="20"/>
          <w:szCs w:val="20"/>
          <w:lang w:val="en-GB" w:eastAsia="zh-CN"/>
        </w:rPr>
        <w:t>re</w:t>
      </w:r>
      <w:r>
        <w:rPr>
          <w:rFonts w:ascii="Times New Roman" w:eastAsia="Times New Roman" w:hAnsi="Times New Roman"/>
          <w:bCs/>
          <w:i/>
          <w:sz w:val="20"/>
          <w:szCs w:val="20"/>
          <w:lang w:val="en-GB" w:eastAsia="zh-CN"/>
        </w:rPr>
        <w:t>selection procedure at the AS layer.</w:t>
      </w:r>
    </w:p>
    <w:p w14:paraId="60EF47F2" w14:textId="5A59892A" w:rsidR="008669B1" w:rsidRDefault="006D136D" w:rsidP="00DA3465">
      <w:pPr>
        <w:pStyle w:val="Tdoc"/>
        <w:ind w:left="-90" w:firstLine="0"/>
      </w:pPr>
      <w:bookmarkStart w:id="1" w:name="_Ref458739888"/>
      <w:r>
        <w:t>References</w:t>
      </w:r>
    </w:p>
    <w:sdt>
      <w:sdtPr>
        <w:id w:val="86354446"/>
        <w:docPartObj>
          <w:docPartGallery w:val="Bibliographies"/>
          <w:docPartUnique/>
        </w:docPartObj>
      </w:sdtPr>
      <w:sdtEndPr/>
      <w:sdtContent>
        <w:sdt>
          <w:sdtPr>
            <w:id w:val="-573587230"/>
            <w:bibliography/>
          </w:sdtPr>
          <w:sdtEndPr/>
          <w:sdtContent>
            <w:p w14:paraId="202F31A9" w14:textId="77777777" w:rsidR="00B14489" w:rsidRDefault="00F6757D">
              <w:pPr>
                <w:rPr>
                  <w:noProof/>
                  <w:sz w:val="20"/>
                  <w:szCs w:val="20"/>
                </w:rPr>
              </w:pPr>
              <w:r>
                <w:rPr>
                  <w:rFonts w:ascii="Calibri Light" w:eastAsia="Times New Roman" w:hAnsi="Calibri Light"/>
                  <w:color w:val="2E74B5"/>
                  <w:sz w:val="32"/>
                  <w:szCs w:val="32"/>
                </w:rPr>
                <w:fldChar w:fldCharType="begin"/>
              </w:r>
              <w:r>
                <w:instrText xml:space="preserve"> BIBLIOGRAPHY </w:instrText>
              </w:r>
              <w:r>
                <w:rPr>
                  <w:rFonts w:ascii="Calibri Light" w:eastAsia="Times New Roman" w:hAnsi="Calibri Light"/>
                  <w:color w:val="2E74B5"/>
                  <w:sz w:val="32"/>
                  <w:szCs w:val="32"/>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B14489" w14:paraId="6E1E9511" w14:textId="77777777">
                <w:trPr>
                  <w:divId w:val="1297760377"/>
                  <w:tblCellSpacing w:w="15" w:type="dxa"/>
                </w:trPr>
                <w:tc>
                  <w:tcPr>
                    <w:tcW w:w="50" w:type="pct"/>
                    <w:hideMark/>
                  </w:tcPr>
                  <w:p w14:paraId="0AE786E5" w14:textId="77777777" w:rsidR="00B14489" w:rsidRDefault="00B14489">
                    <w:pPr>
                      <w:pStyle w:val="Bibliography"/>
                      <w:rPr>
                        <w:noProof/>
                        <w:sz w:val="24"/>
                        <w:szCs w:val="24"/>
                      </w:rPr>
                    </w:pPr>
                    <w:r>
                      <w:rPr>
                        <w:noProof/>
                      </w:rPr>
                      <w:t xml:space="preserve">[1] </w:t>
                    </w:r>
                  </w:p>
                </w:tc>
                <w:tc>
                  <w:tcPr>
                    <w:tcW w:w="0" w:type="auto"/>
                    <w:hideMark/>
                  </w:tcPr>
                  <w:p w14:paraId="6F2EB690" w14:textId="77777777" w:rsidR="00B14489" w:rsidRDefault="00B14489">
                    <w:pPr>
                      <w:pStyle w:val="Bibliography"/>
                      <w:rPr>
                        <w:noProof/>
                      </w:rPr>
                    </w:pPr>
                    <w:r>
                      <w:rPr>
                        <w:noProof/>
                      </w:rPr>
                      <w:t xml:space="preserve">"RAN2#99bis, "Chairman Notes"". </w:t>
                    </w:r>
                  </w:p>
                </w:tc>
              </w:tr>
              <w:tr w:rsidR="00B14489" w14:paraId="17726C25" w14:textId="77777777">
                <w:trPr>
                  <w:divId w:val="1297760377"/>
                  <w:tblCellSpacing w:w="15" w:type="dxa"/>
                </w:trPr>
                <w:tc>
                  <w:tcPr>
                    <w:tcW w:w="50" w:type="pct"/>
                    <w:hideMark/>
                  </w:tcPr>
                  <w:p w14:paraId="2649969A" w14:textId="77777777" w:rsidR="00B14489" w:rsidRDefault="00B14489">
                    <w:pPr>
                      <w:pStyle w:val="Bibliography"/>
                      <w:rPr>
                        <w:noProof/>
                      </w:rPr>
                    </w:pPr>
                    <w:r>
                      <w:rPr>
                        <w:noProof/>
                      </w:rPr>
                      <w:t xml:space="preserve">[2] </w:t>
                    </w:r>
                  </w:p>
                </w:tc>
                <w:tc>
                  <w:tcPr>
                    <w:tcW w:w="0" w:type="auto"/>
                    <w:hideMark/>
                  </w:tcPr>
                  <w:p w14:paraId="70235B4C" w14:textId="77777777" w:rsidR="00B14489" w:rsidRDefault="00B14489">
                    <w:pPr>
                      <w:pStyle w:val="Bibliography"/>
                      <w:rPr>
                        <w:noProof/>
                      </w:rPr>
                    </w:pPr>
                    <w:r>
                      <w:rPr>
                        <w:noProof/>
                      </w:rPr>
                      <w:t xml:space="preserve">"RAN1#90bis, "Chairman Notes"". </w:t>
                    </w:r>
                  </w:p>
                </w:tc>
              </w:tr>
            </w:tbl>
            <w:p w14:paraId="1BAB92E6" w14:textId="77777777" w:rsidR="00B14489" w:rsidRDefault="00B14489">
              <w:pPr>
                <w:divId w:val="1297760377"/>
                <w:rPr>
                  <w:rFonts w:eastAsia="Times New Roman"/>
                  <w:noProof/>
                </w:rPr>
              </w:pPr>
            </w:p>
            <w:p w14:paraId="60EF47F6" w14:textId="37FE7963" w:rsidR="00E0063E" w:rsidRPr="008669B1" w:rsidRDefault="00F6757D" w:rsidP="008669B1">
              <w:r>
                <w:rPr>
                  <w:b/>
                  <w:bCs/>
                  <w:noProof/>
                </w:rPr>
                <w:fldChar w:fldCharType="end"/>
              </w:r>
            </w:p>
          </w:sdtContent>
        </w:sdt>
      </w:sdtContent>
    </w:sdt>
    <w:bookmarkEnd w:id="1" w:displacedByCustomXml="prev"/>
    <w:sectPr w:rsidR="00E0063E" w:rsidRPr="008669B1">
      <w:foot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EF47F9" w14:textId="77777777" w:rsidR="009522D1" w:rsidRDefault="009522D1">
      <w:pPr>
        <w:spacing w:after="0" w:line="240" w:lineRule="auto"/>
      </w:pPr>
      <w:r>
        <w:separator/>
      </w:r>
    </w:p>
  </w:endnote>
  <w:endnote w:type="continuationSeparator" w:id="0">
    <w:p w14:paraId="60EF47FA" w14:textId="77777777" w:rsidR="009522D1" w:rsidRDefault="009522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EF47FB" w14:textId="77777777" w:rsidR="009522D1" w:rsidRDefault="009522D1"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02197">
      <w:rPr>
        <w:rFonts w:ascii="Arial" w:hAnsi="Arial" w:cs="Arial"/>
        <w:b/>
        <w:noProof/>
        <w:sz w:val="18"/>
        <w:szCs w:val="18"/>
      </w:rPr>
      <w:t>2</w:t>
    </w:r>
    <w:r>
      <w:rPr>
        <w:rFonts w:ascii="Arial" w:hAnsi="Arial" w:cs="Arial"/>
        <w:b/>
        <w:sz w:val="18"/>
        <w:szCs w:val="18"/>
      </w:rPr>
      <w:fldChar w:fldCharType="end"/>
    </w:r>
  </w:p>
  <w:p w14:paraId="60EF47FC" w14:textId="77777777" w:rsidR="009522D1" w:rsidRDefault="009522D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EF47F7" w14:textId="77777777" w:rsidR="009522D1" w:rsidRDefault="009522D1">
      <w:pPr>
        <w:spacing w:after="0" w:line="240" w:lineRule="auto"/>
      </w:pPr>
      <w:r>
        <w:separator/>
      </w:r>
    </w:p>
  </w:footnote>
  <w:footnote w:type="continuationSeparator" w:id="0">
    <w:p w14:paraId="60EF47F8" w14:textId="77777777" w:rsidR="009522D1" w:rsidRDefault="009522D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A02B7"/>
    <w:multiLevelType w:val="hybridMultilevel"/>
    <w:tmpl w:val="0D2C9774"/>
    <w:lvl w:ilvl="0" w:tplc="76F8A66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340589D"/>
    <w:multiLevelType w:val="hybridMultilevel"/>
    <w:tmpl w:val="534A92C2"/>
    <w:lvl w:ilvl="0" w:tplc="CF7428B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5C0B76"/>
    <w:multiLevelType w:val="multilevel"/>
    <w:tmpl w:val="C8BC8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FC76B6B"/>
    <w:multiLevelType w:val="multilevel"/>
    <w:tmpl w:val="642C5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FCF6269"/>
    <w:multiLevelType w:val="hybridMultilevel"/>
    <w:tmpl w:val="2996E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7"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cs="Times New Roman" w:hint="default"/>
      </w:rPr>
    </w:lvl>
    <w:lvl w:ilvl="1" w:tplc="40AC8826">
      <w:numFmt w:val="bullet"/>
      <w:lvlText w:val="•"/>
      <w:lvlJc w:val="left"/>
      <w:pPr>
        <w:tabs>
          <w:tab w:val="num" w:pos="1440"/>
        </w:tabs>
        <w:ind w:left="1440" w:hanging="360"/>
      </w:pPr>
      <w:rPr>
        <w:rFonts w:ascii="Arial" w:hAnsi="Arial" w:cs="Times New Roman" w:hint="default"/>
      </w:rPr>
    </w:lvl>
    <w:lvl w:ilvl="2" w:tplc="A338043A">
      <w:numFmt w:val="bullet"/>
      <w:lvlText w:val="•"/>
      <w:lvlJc w:val="left"/>
      <w:pPr>
        <w:tabs>
          <w:tab w:val="num" w:pos="2160"/>
        </w:tabs>
        <w:ind w:left="2160" w:hanging="360"/>
      </w:pPr>
      <w:rPr>
        <w:rFonts w:ascii="Arial" w:hAnsi="Arial" w:cs="Times New Roman" w:hint="default"/>
      </w:rPr>
    </w:lvl>
    <w:lvl w:ilvl="3" w:tplc="9AF4EF16">
      <w:start w:val="1"/>
      <w:numFmt w:val="bullet"/>
      <w:lvlText w:val="•"/>
      <w:lvlJc w:val="left"/>
      <w:pPr>
        <w:tabs>
          <w:tab w:val="num" w:pos="2880"/>
        </w:tabs>
        <w:ind w:left="2880" w:hanging="360"/>
      </w:pPr>
      <w:rPr>
        <w:rFonts w:ascii="Arial" w:hAnsi="Arial" w:cs="Times New Roman" w:hint="default"/>
      </w:rPr>
    </w:lvl>
    <w:lvl w:ilvl="4" w:tplc="C75CB2C2">
      <w:start w:val="1"/>
      <w:numFmt w:val="bullet"/>
      <w:lvlText w:val="•"/>
      <w:lvlJc w:val="left"/>
      <w:pPr>
        <w:tabs>
          <w:tab w:val="num" w:pos="3600"/>
        </w:tabs>
        <w:ind w:left="3600" w:hanging="360"/>
      </w:pPr>
      <w:rPr>
        <w:rFonts w:ascii="Arial" w:hAnsi="Arial" w:cs="Times New Roman" w:hint="default"/>
      </w:rPr>
    </w:lvl>
    <w:lvl w:ilvl="5" w:tplc="5AF86198">
      <w:start w:val="1"/>
      <w:numFmt w:val="bullet"/>
      <w:lvlText w:val="•"/>
      <w:lvlJc w:val="left"/>
      <w:pPr>
        <w:tabs>
          <w:tab w:val="num" w:pos="4320"/>
        </w:tabs>
        <w:ind w:left="4320" w:hanging="360"/>
      </w:pPr>
      <w:rPr>
        <w:rFonts w:ascii="Arial" w:hAnsi="Arial" w:cs="Times New Roman" w:hint="default"/>
      </w:rPr>
    </w:lvl>
    <w:lvl w:ilvl="6" w:tplc="7032A646">
      <w:start w:val="1"/>
      <w:numFmt w:val="bullet"/>
      <w:lvlText w:val="•"/>
      <w:lvlJc w:val="left"/>
      <w:pPr>
        <w:tabs>
          <w:tab w:val="num" w:pos="5040"/>
        </w:tabs>
        <w:ind w:left="5040" w:hanging="360"/>
      </w:pPr>
      <w:rPr>
        <w:rFonts w:ascii="Arial" w:hAnsi="Arial" w:cs="Times New Roman" w:hint="default"/>
      </w:rPr>
    </w:lvl>
    <w:lvl w:ilvl="7" w:tplc="5142A49A">
      <w:start w:val="1"/>
      <w:numFmt w:val="bullet"/>
      <w:lvlText w:val="•"/>
      <w:lvlJc w:val="left"/>
      <w:pPr>
        <w:tabs>
          <w:tab w:val="num" w:pos="5760"/>
        </w:tabs>
        <w:ind w:left="5760" w:hanging="360"/>
      </w:pPr>
      <w:rPr>
        <w:rFonts w:ascii="Arial" w:hAnsi="Arial" w:cs="Times New Roman" w:hint="default"/>
      </w:rPr>
    </w:lvl>
    <w:lvl w:ilvl="8" w:tplc="411EA638">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50D01173"/>
    <w:multiLevelType w:val="hybridMultilevel"/>
    <w:tmpl w:val="3BC2DDE0"/>
    <w:lvl w:ilvl="0" w:tplc="7D0C9752">
      <w:start w:val="1"/>
      <w:numFmt w:val="decimal"/>
      <w:pStyle w:val="Tdoc"/>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cs="Times New Roman" w:hint="default"/>
      </w:rPr>
    </w:lvl>
    <w:lvl w:ilvl="1" w:tplc="50D21FF0">
      <w:start w:val="1"/>
      <w:numFmt w:val="bullet"/>
      <w:lvlText w:val="•"/>
      <w:lvlJc w:val="left"/>
      <w:pPr>
        <w:tabs>
          <w:tab w:val="num" w:pos="1440"/>
        </w:tabs>
        <w:ind w:left="1440" w:hanging="360"/>
      </w:pPr>
      <w:rPr>
        <w:rFonts w:ascii="Arial" w:hAnsi="Arial" w:cs="Times New Roman" w:hint="default"/>
      </w:rPr>
    </w:lvl>
    <w:lvl w:ilvl="2" w:tplc="8C1A2DFC">
      <w:start w:val="1"/>
      <w:numFmt w:val="bullet"/>
      <w:lvlText w:val="•"/>
      <w:lvlJc w:val="left"/>
      <w:pPr>
        <w:tabs>
          <w:tab w:val="num" w:pos="2160"/>
        </w:tabs>
        <w:ind w:left="2160" w:hanging="360"/>
      </w:pPr>
      <w:rPr>
        <w:rFonts w:ascii="Arial" w:hAnsi="Arial" w:cs="Times New Roman" w:hint="default"/>
      </w:rPr>
    </w:lvl>
    <w:lvl w:ilvl="3" w:tplc="9D0C7AFC">
      <w:start w:val="1"/>
      <w:numFmt w:val="bullet"/>
      <w:lvlText w:val="•"/>
      <w:lvlJc w:val="left"/>
      <w:pPr>
        <w:tabs>
          <w:tab w:val="num" w:pos="2880"/>
        </w:tabs>
        <w:ind w:left="2880" w:hanging="360"/>
      </w:pPr>
      <w:rPr>
        <w:rFonts w:ascii="Arial" w:hAnsi="Arial" w:cs="Times New Roman" w:hint="default"/>
      </w:rPr>
    </w:lvl>
    <w:lvl w:ilvl="4" w:tplc="B158EBFC">
      <w:start w:val="1"/>
      <w:numFmt w:val="bullet"/>
      <w:lvlText w:val="•"/>
      <w:lvlJc w:val="left"/>
      <w:pPr>
        <w:tabs>
          <w:tab w:val="num" w:pos="3600"/>
        </w:tabs>
        <w:ind w:left="3600" w:hanging="360"/>
      </w:pPr>
      <w:rPr>
        <w:rFonts w:ascii="Arial" w:hAnsi="Arial" w:cs="Times New Roman" w:hint="default"/>
      </w:rPr>
    </w:lvl>
    <w:lvl w:ilvl="5" w:tplc="D9401CA2">
      <w:start w:val="1"/>
      <w:numFmt w:val="bullet"/>
      <w:lvlText w:val="•"/>
      <w:lvlJc w:val="left"/>
      <w:pPr>
        <w:tabs>
          <w:tab w:val="num" w:pos="4320"/>
        </w:tabs>
        <w:ind w:left="4320" w:hanging="360"/>
      </w:pPr>
      <w:rPr>
        <w:rFonts w:ascii="Arial" w:hAnsi="Arial" w:cs="Times New Roman" w:hint="default"/>
      </w:rPr>
    </w:lvl>
    <w:lvl w:ilvl="6" w:tplc="D922A9BE">
      <w:start w:val="1"/>
      <w:numFmt w:val="bullet"/>
      <w:lvlText w:val="•"/>
      <w:lvlJc w:val="left"/>
      <w:pPr>
        <w:tabs>
          <w:tab w:val="num" w:pos="5040"/>
        </w:tabs>
        <w:ind w:left="5040" w:hanging="360"/>
      </w:pPr>
      <w:rPr>
        <w:rFonts w:ascii="Arial" w:hAnsi="Arial" w:cs="Times New Roman" w:hint="default"/>
      </w:rPr>
    </w:lvl>
    <w:lvl w:ilvl="7" w:tplc="7DE64E50">
      <w:start w:val="1"/>
      <w:numFmt w:val="bullet"/>
      <w:lvlText w:val="•"/>
      <w:lvlJc w:val="left"/>
      <w:pPr>
        <w:tabs>
          <w:tab w:val="num" w:pos="5760"/>
        </w:tabs>
        <w:ind w:left="5760" w:hanging="360"/>
      </w:pPr>
      <w:rPr>
        <w:rFonts w:ascii="Arial" w:hAnsi="Arial" w:cs="Times New Roman" w:hint="default"/>
      </w:rPr>
    </w:lvl>
    <w:lvl w:ilvl="8" w:tplc="B7F85D2C">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5A083D2D"/>
    <w:multiLevelType w:val="hybridMultilevel"/>
    <w:tmpl w:val="65B08F76"/>
    <w:lvl w:ilvl="0" w:tplc="98403FF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E63186A"/>
    <w:multiLevelType w:val="hybridMultilevel"/>
    <w:tmpl w:val="7C541528"/>
    <w:lvl w:ilvl="0" w:tplc="1964924A">
      <w:start w:val="1"/>
      <w:numFmt w:val="bullet"/>
      <w:lvlText w:val="•"/>
      <w:lvlJc w:val="left"/>
      <w:pPr>
        <w:tabs>
          <w:tab w:val="num" w:pos="720"/>
        </w:tabs>
        <w:ind w:left="720" w:hanging="360"/>
      </w:pPr>
      <w:rPr>
        <w:rFonts w:ascii="Arial" w:hAnsi="Arial" w:hint="default"/>
      </w:rPr>
    </w:lvl>
    <w:lvl w:ilvl="1" w:tplc="AD02D3EC">
      <w:numFmt w:val="bullet"/>
      <w:lvlText w:val="–"/>
      <w:lvlJc w:val="left"/>
      <w:pPr>
        <w:tabs>
          <w:tab w:val="num" w:pos="1440"/>
        </w:tabs>
        <w:ind w:left="1440" w:hanging="360"/>
      </w:pPr>
      <w:rPr>
        <w:rFonts w:ascii="Arial" w:hAnsi="Arial" w:hint="default"/>
      </w:rPr>
    </w:lvl>
    <w:lvl w:ilvl="2" w:tplc="AC20D8F6" w:tentative="1">
      <w:start w:val="1"/>
      <w:numFmt w:val="bullet"/>
      <w:lvlText w:val="•"/>
      <w:lvlJc w:val="left"/>
      <w:pPr>
        <w:tabs>
          <w:tab w:val="num" w:pos="2160"/>
        </w:tabs>
        <w:ind w:left="2160" w:hanging="360"/>
      </w:pPr>
      <w:rPr>
        <w:rFonts w:ascii="Arial" w:hAnsi="Arial" w:hint="default"/>
      </w:rPr>
    </w:lvl>
    <w:lvl w:ilvl="3" w:tplc="E3DE5778" w:tentative="1">
      <w:start w:val="1"/>
      <w:numFmt w:val="bullet"/>
      <w:lvlText w:val="•"/>
      <w:lvlJc w:val="left"/>
      <w:pPr>
        <w:tabs>
          <w:tab w:val="num" w:pos="2880"/>
        </w:tabs>
        <w:ind w:left="2880" w:hanging="360"/>
      </w:pPr>
      <w:rPr>
        <w:rFonts w:ascii="Arial" w:hAnsi="Arial" w:hint="default"/>
      </w:rPr>
    </w:lvl>
    <w:lvl w:ilvl="4" w:tplc="0178B284" w:tentative="1">
      <w:start w:val="1"/>
      <w:numFmt w:val="bullet"/>
      <w:lvlText w:val="•"/>
      <w:lvlJc w:val="left"/>
      <w:pPr>
        <w:tabs>
          <w:tab w:val="num" w:pos="3600"/>
        </w:tabs>
        <w:ind w:left="3600" w:hanging="360"/>
      </w:pPr>
      <w:rPr>
        <w:rFonts w:ascii="Arial" w:hAnsi="Arial" w:hint="default"/>
      </w:rPr>
    </w:lvl>
    <w:lvl w:ilvl="5" w:tplc="DE6A245E" w:tentative="1">
      <w:start w:val="1"/>
      <w:numFmt w:val="bullet"/>
      <w:lvlText w:val="•"/>
      <w:lvlJc w:val="left"/>
      <w:pPr>
        <w:tabs>
          <w:tab w:val="num" w:pos="4320"/>
        </w:tabs>
        <w:ind w:left="4320" w:hanging="360"/>
      </w:pPr>
      <w:rPr>
        <w:rFonts w:ascii="Arial" w:hAnsi="Arial" w:hint="default"/>
      </w:rPr>
    </w:lvl>
    <w:lvl w:ilvl="6" w:tplc="9196908C" w:tentative="1">
      <w:start w:val="1"/>
      <w:numFmt w:val="bullet"/>
      <w:lvlText w:val="•"/>
      <w:lvlJc w:val="left"/>
      <w:pPr>
        <w:tabs>
          <w:tab w:val="num" w:pos="5040"/>
        </w:tabs>
        <w:ind w:left="5040" w:hanging="360"/>
      </w:pPr>
      <w:rPr>
        <w:rFonts w:ascii="Arial" w:hAnsi="Arial" w:hint="default"/>
      </w:rPr>
    </w:lvl>
    <w:lvl w:ilvl="7" w:tplc="F85699BE" w:tentative="1">
      <w:start w:val="1"/>
      <w:numFmt w:val="bullet"/>
      <w:lvlText w:val="•"/>
      <w:lvlJc w:val="left"/>
      <w:pPr>
        <w:tabs>
          <w:tab w:val="num" w:pos="5760"/>
        </w:tabs>
        <w:ind w:left="5760" w:hanging="360"/>
      </w:pPr>
      <w:rPr>
        <w:rFonts w:ascii="Arial" w:hAnsi="Arial" w:hint="default"/>
      </w:rPr>
    </w:lvl>
    <w:lvl w:ilvl="8" w:tplc="BB7AE6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5A74D0A"/>
    <w:multiLevelType w:val="hybridMultilevel"/>
    <w:tmpl w:val="6486D2DA"/>
    <w:lvl w:ilvl="0" w:tplc="92DEDCE6">
      <w:start w:val="1"/>
      <w:numFmt w:val="bullet"/>
      <w:lvlText w:val=""/>
      <w:lvlJc w:val="left"/>
      <w:pPr>
        <w:tabs>
          <w:tab w:val="num" w:pos="360"/>
        </w:tabs>
        <w:ind w:left="360" w:hanging="360"/>
      </w:pPr>
      <w:rPr>
        <w:rFonts w:ascii="Wingdings" w:hAnsi="Wingdings" w:hint="default"/>
      </w:rPr>
    </w:lvl>
    <w:lvl w:ilvl="1" w:tplc="28580AAC">
      <w:start w:val="1"/>
      <w:numFmt w:val="bullet"/>
      <w:lvlText w:val=""/>
      <w:lvlJc w:val="left"/>
      <w:pPr>
        <w:tabs>
          <w:tab w:val="num" w:pos="1080"/>
        </w:tabs>
        <w:ind w:left="1080" w:hanging="360"/>
      </w:pPr>
      <w:rPr>
        <w:rFonts w:ascii="Wingdings" w:hAnsi="Wingdings" w:hint="default"/>
      </w:rPr>
    </w:lvl>
    <w:lvl w:ilvl="2" w:tplc="E2F43D42">
      <w:numFmt w:val="bullet"/>
      <w:lvlText w:val="•"/>
      <w:lvlJc w:val="left"/>
      <w:pPr>
        <w:tabs>
          <w:tab w:val="num" w:pos="1800"/>
        </w:tabs>
        <w:ind w:left="1800" w:hanging="360"/>
      </w:pPr>
      <w:rPr>
        <w:rFonts w:ascii="Arial" w:hAnsi="Arial" w:hint="default"/>
      </w:rPr>
    </w:lvl>
    <w:lvl w:ilvl="3" w:tplc="8D9C3F02" w:tentative="1">
      <w:start w:val="1"/>
      <w:numFmt w:val="bullet"/>
      <w:lvlText w:val=""/>
      <w:lvlJc w:val="left"/>
      <w:pPr>
        <w:tabs>
          <w:tab w:val="num" w:pos="2520"/>
        </w:tabs>
        <w:ind w:left="2520" w:hanging="360"/>
      </w:pPr>
      <w:rPr>
        <w:rFonts w:ascii="Wingdings" w:hAnsi="Wingdings" w:hint="default"/>
      </w:rPr>
    </w:lvl>
    <w:lvl w:ilvl="4" w:tplc="81D8C8BC" w:tentative="1">
      <w:start w:val="1"/>
      <w:numFmt w:val="bullet"/>
      <w:lvlText w:val=""/>
      <w:lvlJc w:val="left"/>
      <w:pPr>
        <w:tabs>
          <w:tab w:val="num" w:pos="3240"/>
        </w:tabs>
        <w:ind w:left="3240" w:hanging="360"/>
      </w:pPr>
      <w:rPr>
        <w:rFonts w:ascii="Wingdings" w:hAnsi="Wingdings" w:hint="default"/>
      </w:rPr>
    </w:lvl>
    <w:lvl w:ilvl="5" w:tplc="68F882C4" w:tentative="1">
      <w:start w:val="1"/>
      <w:numFmt w:val="bullet"/>
      <w:lvlText w:val=""/>
      <w:lvlJc w:val="left"/>
      <w:pPr>
        <w:tabs>
          <w:tab w:val="num" w:pos="3960"/>
        </w:tabs>
        <w:ind w:left="3960" w:hanging="360"/>
      </w:pPr>
      <w:rPr>
        <w:rFonts w:ascii="Wingdings" w:hAnsi="Wingdings" w:hint="default"/>
      </w:rPr>
    </w:lvl>
    <w:lvl w:ilvl="6" w:tplc="27B0EA26" w:tentative="1">
      <w:start w:val="1"/>
      <w:numFmt w:val="bullet"/>
      <w:lvlText w:val=""/>
      <w:lvlJc w:val="left"/>
      <w:pPr>
        <w:tabs>
          <w:tab w:val="num" w:pos="4680"/>
        </w:tabs>
        <w:ind w:left="4680" w:hanging="360"/>
      </w:pPr>
      <w:rPr>
        <w:rFonts w:ascii="Wingdings" w:hAnsi="Wingdings" w:hint="default"/>
      </w:rPr>
    </w:lvl>
    <w:lvl w:ilvl="7" w:tplc="36DABE2A" w:tentative="1">
      <w:start w:val="1"/>
      <w:numFmt w:val="bullet"/>
      <w:lvlText w:val=""/>
      <w:lvlJc w:val="left"/>
      <w:pPr>
        <w:tabs>
          <w:tab w:val="num" w:pos="5400"/>
        </w:tabs>
        <w:ind w:left="5400" w:hanging="360"/>
      </w:pPr>
      <w:rPr>
        <w:rFonts w:ascii="Wingdings" w:hAnsi="Wingdings" w:hint="default"/>
      </w:rPr>
    </w:lvl>
    <w:lvl w:ilvl="8" w:tplc="DD5A62E8"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780B1806"/>
    <w:multiLevelType w:val="hybridMultilevel"/>
    <w:tmpl w:val="4B4C04F6"/>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821570B"/>
    <w:multiLevelType w:val="hybridMultilevel"/>
    <w:tmpl w:val="F52E87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3"/>
  </w:num>
  <w:num w:numId="2">
    <w:abstractNumId w:val="10"/>
  </w:num>
  <w:num w:numId="3">
    <w:abstractNumId w:val="6"/>
  </w:num>
  <w:num w:numId="4">
    <w:abstractNumId w:val="5"/>
  </w:num>
  <w:num w:numId="5">
    <w:abstractNumId w:val="2"/>
    <w:lvlOverride w:ilvl="0">
      <w:startOverride w:val="1"/>
    </w:lvlOverride>
  </w:num>
  <w:num w:numId="6">
    <w:abstractNumId w:val="3"/>
    <w:lvlOverride w:ilvl="0">
      <w:startOverride w:val="2"/>
    </w:lvlOverride>
  </w:num>
  <w:num w:numId="7">
    <w:abstractNumId w:val="11"/>
  </w:num>
  <w:num w:numId="8">
    <w:abstractNumId w:val="9"/>
  </w:num>
  <w:num w:numId="9">
    <w:abstractNumId w:val="7"/>
  </w:num>
  <w:num w:numId="10">
    <w:abstractNumId w:val="8"/>
  </w:num>
  <w:num w:numId="11">
    <w:abstractNumId w:val="12"/>
  </w:num>
  <w:num w:numId="12">
    <w:abstractNumId w:val="1"/>
  </w:num>
  <w:num w:numId="13">
    <w:abstractNumId w:val="0"/>
  </w:num>
  <w:num w:numId="14">
    <w:abstractNumId w:val="4"/>
  </w:num>
  <w:num w:numId="15">
    <w:abstractNumId w:val="14"/>
  </w:num>
  <w:num w:numId="16">
    <w:abstractNumId w:val="15"/>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3C2"/>
    <w:rsid w:val="00001F9E"/>
    <w:rsid w:val="0000765D"/>
    <w:rsid w:val="0001057A"/>
    <w:rsid w:val="00020BB3"/>
    <w:rsid w:val="000232B5"/>
    <w:rsid w:val="000270B0"/>
    <w:rsid w:val="00031A47"/>
    <w:rsid w:val="00031DC4"/>
    <w:rsid w:val="00043F8C"/>
    <w:rsid w:val="00057AFC"/>
    <w:rsid w:val="00066057"/>
    <w:rsid w:val="0007355E"/>
    <w:rsid w:val="0009610B"/>
    <w:rsid w:val="00096596"/>
    <w:rsid w:val="000A1656"/>
    <w:rsid w:val="000A359D"/>
    <w:rsid w:val="000E5A33"/>
    <w:rsid w:val="000F5A71"/>
    <w:rsid w:val="00100001"/>
    <w:rsid w:val="001231E8"/>
    <w:rsid w:val="00133829"/>
    <w:rsid w:val="00136F78"/>
    <w:rsid w:val="00142882"/>
    <w:rsid w:val="00154E29"/>
    <w:rsid w:val="001672FC"/>
    <w:rsid w:val="00174865"/>
    <w:rsid w:val="00175FAB"/>
    <w:rsid w:val="00180FB1"/>
    <w:rsid w:val="0019188A"/>
    <w:rsid w:val="00193EBE"/>
    <w:rsid w:val="00195430"/>
    <w:rsid w:val="00197274"/>
    <w:rsid w:val="001B4286"/>
    <w:rsid w:val="001B7E53"/>
    <w:rsid w:val="001C137C"/>
    <w:rsid w:val="001E221E"/>
    <w:rsid w:val="001E5CA5"/>
    <w:rsid w:val="001E5E85"/>
    <w:rsid w:val="001F5F0A"/>
    <w:rsid w:val="002049D9"/>
    <w:rsid w:val="0020567B"/>
    <w:rsid w:val="002115B0"/>
    <w:rsid w:val="00235C1E"/>
    <w:rsid w:val="00235E18"/>
    <w:rsid w:val="00242773"/>
    <w:rsid w:val="00247EAA"/>
    <w:rsid w:val="00255CB1"/>
    <w:rsid w:val="00257333"/>
    <w:rsid w:val="00257402"/>
    <w:rsid w:val="00260222"/>
    <w:rsid w:val="00261015"/>
    <w:rsid w:val="00273937"/>
    <w:rsid w:val="00276574"/>
    <w:rsid w:val="00277491"/>
    <w:rsid w:val="00283702"/>
    <w:rsid w:val="00285D82"/>
    <w:rsid w:val="00291433"/>
    <w:rsid w:val="00293EC9"/>
    <w:rsid w:val="00295334"/>
    <w:rsid w:val="002A34DB"/>
    <w:rsid w:val="002B51AD"/>
    <w:rsid w:val="002C44D9"/>
    <w:rsid w:val="002E1794"/>
    <w:rsid w:val="002E25B2"/>
    <w:rsid w:val="002E75EA"/>
    <w:rsid w:val="002F04F8"/>
    <w:rsid w:val="002F153B"/>
    <w:rsid w:val="002F432E"/>
    <w:rsid w:val="002F575F"/>
    <w:rsid w:val="003045DC"/>
    <w:rsid w:val="0030763F"/>
    <w:rsid w:val="00315268"/>
    <w:rsid w:val="003177C9"/>
    <w:rsid w:val="00323003"/>
    <w:rsid w:val="00327883"/>
    <w:rsid w:val="00336D1D"/>
    <w:rsid w:val="00344D3D"/>
    <w:rsid w:val="003830B8"/>
    <w:rsid w:val="00392D6E"/>
    <w:rsid w:val="003A766F"/>
    <w:rsid w:val="003B10C1"/>
    <w:rsid w:val="003B6208"/>
    <w:rsid w:val="003C212E"/>
    <w:rsid w:val="003D76A8"/>
    <w:rsid w:val="003F13B0"/>
    <w:rsid w:val="003F2737"/>
    <w:rsid w:val="003F3513"/>
    <w:rsid w:val="00401BF6"/>
    <w:rsid w:val="0040666E"/>
    <w:rsid w:val="00415F96"/>
    <w:rsid w:val="00424D14"/>
    <w:rsid w:val="00433DA4"/>
    <w:rsid w:val="00437AB1"/>
    <w:rsid w:val="00445B7E"/>
    <w:rsid w:val="004504B4"/>
    <w:rsid w:val="00453DB6"/>
    <w:rsid w:val="00456DE3"/>
    <w:rsid w:val="00460EBA"/>
    <w:rsid w:val="00487FF0"/>
    <w:rsid w:val="0049247B"/>
    <w:rsid w:val="00493074"/>
    <w:rsid w:val="004A0A9B"/>
    <w:rsid w:val="004A31E1"/>
    <w:rsid w:val="004A40AE"/>
    <w:rsid w:val="004A4A78"/>
    <w:rsid w:val="004A5914"/>
    <w:rsid w:val="004B2F1A"/>
    <w:rsid w:val="004B64C4"/>
    <w:rsid w:val="004C46C8"/>
    <w:rsid w:val="004C626E"/>
    <w:rsid w:val="004D467F"/>
    <w:rsid w:val="004F2847"/>
    <w:rsid w:val="004F316F"/>
    <w:rsid w:val="00504AB4"/>
    <w:rsid w:val="005067A7"/>
    <w:rsid w:val="005107D4"/>
    <w:rsid w:val="005117DA"/>
    <w:rsid w:val="00516777"/>
    <w:rsid w:val="00533422"/>
    <w:rsid w:val="00533770"/>
    <w:rsid w:val="00535784"/>
    <w:rsid w:val="00542BF0"/>
    <w:rsid w:val="0055706A"/>
    <w:rsid w:val="00557EDD"/>
    <w:rsid w:val="00574C96"/>
    <w:rsid w:val="00593190"/>
    <w:rsid w:val="00595DB9"/>
    <w:rsid w:val="005A4656"/>
    <w:rsid w:val="005D276B"/>
    <w:rsid w:val="005D362E"/>
    <w:rsid w:val="005D58A9"/>
    <w:rsid w:val="005E4641"/>
    <w:rsid w:val="005F262D"/>
    <w:rsid w:val="0061291B"/>
    <w:rsid w:val="006242D5"/>
    <w:rsid w:val="00630D2F"/>
    <w:rsid w:val="006319C2"/>
    <w:rsid w:val="00637738"/>
    <w:rsid w:val="0066315D"/>
    <w:rsid w:val="006650AB"/>
    <w:rsid w:val="00667231"/>
    <w:rsid w:val="00675F65"/>
    <w:rsid w:val="00683A4C"/>
    <w:rsid w:val="00687129"/>
    <w:rsid w:val="00692413"/>
    <w:rsid w:val="006A27E5"/>
    <w:rsid w:val="006A5379"/>
    <w:rsid w:val="006B21C6"/>
    <w:rsid w:val="006C551C"/>
    <w:rsid w:val="006D0058"/>
    <w:rsid w:val="006D136D"/>
    <w:rsid w:val="006D5A56"/>
    <w:rsid w:val="006F2CDA"/>
    <w:rsid w:val="006F53D1"/>
    <w:rsid w:val="00702197"/>
    <w:rsid w:val="0071408B"/>
    <w:rsid w:val="00732A41"/>
    <w:rsid w:val="00746F26"/>
    <w:rsid w:val="0076605A"/>
    <w:rsid w:val="00770295"/>
    <w:rsid w:val="00783A80"/>
    <w:rsid w:val="00783F29"/>
    <w:rsid w:val="00792327"/>
    <w:rsid w:val="00797358"/>
    <w:rsid w:val="007A49CD"/>
    <w:rsid w:val="007B4FBE"/>
    <w:rsid w:val="007C0F9F"/>
    <w:rsid w:val="007C6E5A"/>
    <w:rsid w:val="0080282C"/>
    <w:rsid w:val="00804828"/>
    <w:rsid w:val="00826C94"/>
    <w:rsid w:val="00827742"/>
    <w:rsid w:val="0083198E"/>
    <w:rsid w:val="00853DC2"/>
    <w:rsid w:val="008669B1"/>
    <w:rsid w:val="00874674"/>
    <w:rsid w:val="008775ED"/>
    <w:rsid w:val="008A3B9F"/>
    <w:rsid w:val="008A7A99"/>
    <w:rsid w:val="008B1CE1"/>
    <w:rsid w:val="008B4664"/>
    <w:rsid w:val="008C0C20"/>
    <w:rsid w:val="008C7B03"/>
    <w:rsid w:val="008D1C92"/>
    <w:rsid w:val="008E278E"/>
    <w:rsid w:val="008F7C07"/>
    <w:rsid w:val="00901C24"/>
    <w:rsid w:val="00910B7A"/>
    <w:rsid w:val="00912C36"/>
    <w:rsid w:val="00914241"/>
    <w:rsid w:val="0092329B"/>
    <w:rsid w:val="00925869"/>
    <w:rsid w:val="00930C49"/>
    <w:rsid w:val="009340C0"/>
    <w:rsid w:val="0093675F"/>
    <w:rsid w:val="009522D1"/>
    <w:rsid w:val="0095247A"/>
    <w:rsid w:val="00952743"/>
    <w:rsid w:val="00955F6D"/>
    <w:rsid w:val="009573C2"/>
    <w:rsid w:val="0097023E"/>
    <w:rsid w:val="00975EB9"/>
    <w:rsid w:val="0098432E"/>
    <w:rsid w:val="00990376"/>
    <w:rsid w:val="009950C6"/>
    <w:rsid w:val="009A1C03"/>
    <w:rsid w:val="009C15E1"/>
    <w:rsid w:val="009C4D8E"/>
    <w:rsid w:val="009E44CD"/>
    <w:rsid w:val="009E7171"/>
    <w:rsid w:val="009F0649"/>
    <w:rsid w:val="009F758B"/>
    <w:rsid w:val="00A0649F"/>
    <w:rsid w:val="00A1125D"/>
    <w:rsid w:val="00A1246A"/>
    <w:rsid w:val="00A17410"/>
    <w:rsid w:val="00A222A8"/>
    <w:rsid w:val="00A316A6"/>
    <w:rsid w:val="00A32D2F"/>
    <w:rsid w:val="00A44954"/>
    <w:rsid w:val="00A5035B"/>
    <w:rsid w:val="00A56C72"/>
    <w:rsid w:val="00A573EA"/>
    <w:rsid w:val="00A62968"/>
    <w:rsid w:val="00A63B12"/>
    <w:rsid w:val="00A658B7"/>
    <w:rsid w:val="00A72101"/>
    <w:rsid w:val="00A824AF"/>
    <w:rsid w:val="00A86A0A"/>
    <w:rsid w:val="00A86A88"/>
    <w:rsid w:val="00A86D91"/>
    <w:rsid w:val="00A95EF6"/>
    <w:rsid w:val="00AB0725"/>
    <w:rsid w:val="00AC4F72"/>
    <w:rsid w:val="00AF256D"/>
    <w:rsid w:val="00B14489"/>
    <w:rsid w:val="00B30016"/>
    <w:rsid w:val="00B4239D"/>
    <w:rsid w:val="00B45EDF"/>
    <w:rsid w:val="00B65189"/>
    <w:rsid w:val="00B74D9C"/>
    <w:rsid w:val="00B75750"/>
    <w:rsid w:val="00B76EA2"/>
    <w:rsid w:val="00B8326D"/>
    <w:rsid w:val="00BA0131"/>
    <w:rsid w:val="00BA2A04"/>
    <w:rsid w:val="00BB4A45"/>
    <w:rsid w:val="00BD47AD"/>
    <w:rsid w:val="00BE503E"/>
    <w:rsid w:val="00BF0C0F"/>
    <w:rsid w:val="00BF1A22"/>
    <w:rsid w:val="00C0320F"/>
    <w:rsid w:val="00C0460F"/>
    <w:rsid w:val="00C06CFA"/>
    <w:rsid w:val="00C12D8A"/>
    <w:rsid w:val="00C167A8"/>
    <w:rsid w:val="00C51289"/>
    <w:rsid w:val="00C52641"/>
    <w:rsid w:val="00C67B49"/>
    <w:rsid w:val="00C7137F"/>
    <w:rsid w:val="00C837CB"/>
    <w:rsid w:val="00C839B7"/>
    <w:rsid w:val="00C8413B"/>
    <w:rsid w:val="00C85BF2"/>
    <w:rsid w:val="00C87617"/>
    <w:rsid w:val="00C90D45"/>
    <w:rsid w:val="00C96E5D"/>
    <w:rsid w:val="00CA1E98"/>
    <w:rsid w:val="00CB6AB5"/>
    <w:rsid w:val="00CC41A2"/>
    <w:rsid w:val="00CD0A2D"/>
    <w:rsid w:val="00CD39A2"/>
    <w:rsid w:val="00CD3B95"/>
    <w:rsid w:val="00CE5F51"/>
    <w:rsid w:val="00CE70AB"/>
    <w:rsid w:val="00D00DDD"/>
    <w:rsid w:val="00D20B50"/>
    <w:rsid w:val="00D24C46"/>
    <w:rsid w:val="00D30D35"/>
    <w:rsid w:val="00D46F95"/>
    <w:rsid w:val="00D52161"/>
    <w:rsid w:val="00D54884"/>
    <w:rsid w:val="00D65AAE"/>
    <w:rsid w:val="00D74365"/>
    <w:rsid w:val="00D75EC2"/>
    <w:rsid w:val="00D8392B"/>
    <w:rsid w:val="00D8472B"/>
    <w:rsid w:val="00D90240"/>
    <w:rsid w:val="00DA3465"/>
    <w:rsid w:val="00DB06BC"/>
    <w:rsid w:val="00DC299B"/>
    <w:rsid w:val="00DF07FB"/>
    <w:rsid w:val="00E0063E"/>
    <w:rsid w:val="00E05231"/>
    <w:rsid w:val="00E172AB"/>
    <w:rsid w:val="00E31E41"/>
    <w:rsid w:val="00E42BBE"/>
    <w:rsid w:val="00E47E11"/>
    <w:rsid w:val="00E53137"/>
    <w:rsid w:val="00E60548"/>
    <w:rsid w:val="00E60B81"/>
    <w:rsid w:val="00E66747"/>
    <w:rsid w:val="00E70758"/>
    <w:rsid w:val="00E731EB"/>
    <w:rsid w:val="00E746AE"/>
    <w:rsid w:val="00E82256"/>
    <w:rsid w:val="00E936F6"/>
    <w:rsid w:val="00E96ECD"/>
    <w:rsid w:val="00EA3C14"/>
    <w:rsid w:val="00EA69D8"/>
    <w:rsid w:val="00EA7AE2"/>
    <w:rsid w:val="00EC1779"/>
    <w:rsid w:val="00EC2396"/>
    <w:rsid w:val="00EC6001"/>
    <w:rsid w:val="00EC7671"/>
    <w:rsid w:val="00ED00AF"/>
    <w:rsid w:val="00ED1FDD"/>
    <w:rsid w:val="00EF56B3"/>
    <w:rsid w:val="00EF693B"/>
    <w:rsid w:val="00EF7688"/>
    <w:rsid w:val="00F060F9"/>
    <w:rsid w:val="00F117A5"/>
    <w:rsid w:val="00F11895"/>
    <w:rsid w:val="00F14223"/>
    <w:rsid w:val="00F14233"/>
    <w:rsid w:val="00F16840"/>
    <w:rsid w:val="00F22784"/>
    <w:rsid w:val="00F421C5"/>
    <w:rsid w:val="00F52C55"/>
    <w:rsid w:val="00F63557"/>
    <w:rsid w:val="00F6757D"/>
    <w:rsid w:val="00F816DF"/>
    <w:rsid w:val="00F94B7D"/>
    <w:rsid w:val="00F9599A"/>
    <w:rsid w:val="00FA12E6"/>
    <w:rsid w:val="00FA3E42"/>
    <w:rsid w:val="00FD690B"/>
    <w:rsid w:val="00FE2F79"/>
    <w:rsid w:val="00FE33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EF47AE"/>
  <w15:chartTrackingRefBased/>
  <w15:docId w15:val="{446264F4-F0FB-4BF8-AD01-583C9711A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uiPriority w:val="9"/>
    <w:semiHidden/>
    <w:unhideWhenUsed/>
    <w:qFormat/>
    <w:rsid w:val="001C137C"/>
    <w:pPr>
      <w:keepNext/>
      <w:spacing w:before="240" w:after="60"/>
      <w:outlineLvl w:val="1"/>
    </w:pPr>
    <w:rPr>
      <w:rFonts w:ascii="Calibri Light" w:eastAsia="Times New Roman" w:hAnsi="Calibri Light"/>
      <w:b/>
      <w:bCs/>
      <w:i/>
      <w:iCs/>
      <w:sz w:val="28"/>
      <w:szCs w:val="28"/>
    </w:rPr>
  </w:style>
  <w:style w:type="paragraph" w:styleId="Heading3">
    <w:name w:val="heading 3"/>
    <w:basedOn w:val="Normal"/>
    <w:next w:val="Normal"/>
    <w:link w:val="Heading3Char"/>
    <w:uiPriority w:val="9"/>
    <w:semiHidden/>
    <w:unhideWhenUsed/>
    <w:qFormat/>
    <w:rsid w:val="00F9599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0063E"/>
    <w:pPr>
      <w:tabs>
        <w:tab w:val="center" w:pos="4680"/>
        <w:tab w:val="right" w:pos="9360"/>
      </w:tabs>
    </w:pPr>
  </w:style>
  <w:style w:type="character" w:customStyle="1" w:styleId="FooterChar">
    <w:name w:val="Footer Char"/>
    <w:link w:val="Footer"/>
    <w:uiPriority w:val="99"/>
    <w:semiHidden/>
    <w:rsid w:val="00E0063E"/>
    <w:rPr>
      <w:sz w:val="22"/>
      <w:szCs w:val="22"/>
    </w:rPr>
  </w:style>
  <w:style w:type="character" w:customStyle="1" w:styleId="Heading1Char">
    <w:name w:val="Heading 1 Char"/>
    <w:link w:val="Heading1"/>
    <w:uiPriority w:val="9"/>
    <w:rsid w:val="0049247B"/>
    <w:rPr>
      <w:rFonts w:ascii="Calibri Light" w:eastAsia="Times New Roman" w:hAnsi="Calibri Light"/>
      <w:color w:val="2E74B5"/>
      <w:sz w:val="32"/>
      <w:szCs w:val="32"/>
    </w:rPr>
  </w:style>
  <w:style w:type="paragraph" w:styleId="FootnoteText">
    <w:name w:val="footnote text"/>
    <w:basedOn w:val="Normal"/>
    <w:link w:val="FootnoteTextChar"/>
    <w:uiPriority w:val="99"/>
    <w:semiHidden/>
    <w:unhideWhenUsed/>
    <w:rsid w:val="0049247B"/>
    <w:rPr>
      <w:sz w:val="20"/>
      <w:szCs w:val="20"/>
    </w:rPr>
  </w:style>
  <w:style w:type="character" w:customStyle="1" w:styleId="FootnoteTextChar">
    <w:name w:val="Footnote Text Char"/>
    <w:basedOn w:val="DefaultParagraphFont"/>
    <w:link w:val="FootnoteText"/>
    <w:uiPriority w:val="99"/>
    <w:semiHidden/>
    <w:rsid w:val="0049247B"/>
  </w:style>
  <w:style w:type="character" w:styleId="FootnoteReference">
    <w:name w:val="footnote reference"/>
    <w:uiPriority w:val="99"/>
    <w:semiHidden/>
    <w:unhideWhenUsed/>
    <w:rsid w:val="0049247B"/>
    <w:rPr>
      <w:vertAlign w:val="superscript"/>
    </w:rPr>
  </w:style>
  <w:style w:type="paragraph" w:styleId="Bibliography">
    <w:name w:val="Bibliography"/>
    <w:basedOn w:val="Normal"/>
    <w:next w:val="Normal"/>
    <w:uiPriority w:val="37"/>
    <w:unhideWhenUsed/>
    <w:rsid w:val="0049247B"/>
  </w:style>
  <w:style w:type="paragraph" w:customStyle="1" w:styleId="Tdoc">
    <w:name w:val="Tdoc"/>
    <w:basedOn w:val="Normal"/>
    <w:link w:val="TdocChar"/>
    <w:qFormat/>
    <w:rsid w:val="0049247B"/>
    <w:pPr>
      <w:keepNext/>
      <w:keepLines/>
      <w:widowControl w:val="0"/>
      <w:numPr>
        <w:numId w:val="10"/>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CommentReference">
    <w:name w:val="annotation reference"/>
    <w:uiPriority w:val="99"/>
    <w:semiHidden/>
    <w:unhideWhenUsed/>
    <w:rsid w:val="00D30D35"/>
    <w:rPr>
      <w:sz w:val="21"/>
      <w:szCs w:val="21"/>
    </w:rPr>
  </w:style>
  <w:style w:type="paragraph" w:styleId="CommentText">
    <w:name w:val="annotation text"/>
    <w:basedOn w:val="Normal"/>
    <w:link w:val="CommentTextChar"/>
    <w:uiPriority w:val="99"/>
    <w:semiHidden/>
    <w:unhideWhenUsed/>
    <w:rsid w:val="00D30D35"/>
  </w:style>
  <w:style w:type="character" w:customStyle="1" w:styleId="CommentTextChar">
    <w:name w:val="Comment Text Char"/>
    <w:link w:val="CommentText"/>
    <w:uiPriority w:val="99"/>
    <w:semiHidden/>
    <w:rsid w:val="00D30D35"/>
    <w:rPr>
      <w:sz w:val="22"/>
      <w:szCs w:val="22"/>
    </w:rPr>
  </w:style>
  <w:style w:type="paragraph" w:styleId="CommentSubject">
    <w:name w:val="annotation subject"/>
    <w:basedOn w:val="CommentText"/>
    <w:next w:val="CommentText"/>
    <w:link w:val="CommentSubjectChar"/>
    <w:uiPriority w:val="99"/>
    <w:semiHidden/>
    <w:unhideWhenUsed/>
    <w:rsid w:val="00D30D35"/>
    <w:rPr>
      <w:b/>
      <w:bCs/>
    </w:rPr>
  </w:style>
  <w:style w:type="character" w:customStyle="1" w:styleId="CommentSubjectChar">
    <w:name w:val="Comment Subject Char"/>
    <w:link w:val="CommentSubject"/>
    <w:uiPriority w:val="99"/>
    <w:semiHidden/>
    <w:rsid w:val="00D30D35"/>
    <w:rPr>
      <w:b/>
      <w:bCs/>
      <w:sz w:val="22"/>
      <w:szCs w:val="22"/>
    </w:rPr>
  </w:style>
  <w:style w:type="paragraph" w:styleId="BalloonText">
    <w:name w:val="Balloon Text"/>
    <w:basedOn w:val="Normal"/>
    <w:link w:val="BalloonTextChar"/>
    <w:uiPriority w:val="99"/>
    <w:semiHidden/>
    <w:unhideWhenUsed/>
    <w:rsid w:val="00D30D35"/>
    <w:pPr>
      <w:spacing w:after="0" w:line="240" w:lineRule="auto"/>
    </w:pPr>
    <w:rPr>
      <w:sz w:val="18"/>
      <w:szCs w:val="18"/>
    </w:rPr>
  </w:style>
  <w:style w:type="character" w:customStyle="1" w:styleId="BalloonTextChar">
    <w:name w:val="Balloon Text Char"/>
    <w:link w:val="BalloonText"/>
    <w:uiPriority w:val="99"/>
    <w:semiHidden/>
    <w:rsid w:val="00D30D35"/>
    <w:rPr>
      <w:sz w:val="18"/>
      <w:szCs w:val="18"/>
    </w:rPr>
  </w:style>
  <w:style w:type="paragraph" w:styleId="ListParagraph">
    <w:name w:val="List Paragraph"/>
    <w:basedOn w:val="Normal"/>
    <w:uiPriority w:val="34"/>
    <w:qFormat/>
    <w:rsid w:val="00D74365"/>
    <w:pPr>
      <w:ind w:left="720"/>
      <w:contextualSpacing/>
    </w:pPr>
  </w:style>
  <w:style w:type="table" w:styleId="TableGrid">
    <w:name w:val="Table Grid"/>
    <w:basedOn w:val="TableNormal"/>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Normal"/>
    <w:link w:val="Doc-text2Char"/>
    <w:qFormat/>
    <w:rsid w:val="002F153B"/>
    <w:pPr>
      <w:tabs>
        <w:tab w:val="left" w:pos="1622"/>
      </w:tabs>
      <w:spacing w:after="0" w:line="240" w:lineRule="auto"/>
      <w:ind w:left="1622" w:hanging="363"/>
    </w:pPr>
    <w:rPr>
      <w:rFonts w:ascii="Arial" w:eastAsia="MS Mincho" w:hAnsi="Arial" w:cs="Arial"/>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C137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Heading2Char">
    <w:name w:val="Heading 2 Char"/>
    <w:link w:val="Heading2"/>
    <w:uiPriority w:val="9"/>
    <w:semiHidden/>
    <w:rsid w:val="001C137C"/>
    <w:rPr>
      <w:rFonts w:ascii="Calibri Light" w:eastAsia="Times New Roman" w:hAnsi="Calibri Light" w:cs="Times New Roman"/>
      <w:b/>
      <w:bCs/>
      <w:i/>
      <w:iCs/>
      <w:sz w:val="28"/>
      <w:szCs w:val="28"/>
    </w:rPr>
  </w:style>
  <w:style w:type="paragraph" w:customStyle="1" w:styleId="Guidance">
    <w:name w:val="Guidance"/>
    <w:basedOn w:val="Normal"/>
    <w:rsid w:val="001C137C"/>
    <w:pPr>
      <w:spacing w:after="180" w:line="240" w:lineRule="auto"/>
    </w:pPr>
    <w:rPr>
      <w:rFonts w:ascii="Times New Roman" w:eastAsia="Malgun Gothic" w:hAnsi="Times New Roman"/>
      <w:i/>
      <w:color w:val="0000FF"/>
      <w:sz w:val="20"/>
      <w:szCs w:val="20"/>
      <w:lang w:val="en-GB"/>
    </w:rPr>
  </w:style>
  <w:style w:type="paragraph" w:styleId="NormalWeb">
    <w:name w:val="Normal (Web)"/>
    <w:basedOn w:val="Normal"/>
    <w:uiPriority w:val="99"/>
    <w:semiHidden/>
    <w:unhideWhenUsed/>
    <w:rsid w:val="00AF256D"/>
    <w:pPr>
      <w:spacing w:before="100" w:beforeAutospacing="1" w:after="100" w:afterAutospacing="1" w:line="240" w:lineRule="auto"/>
    </w:pPr>
    <w:rPr>
      <w:rFonts w:ascii="Times New Roman" w:eastAsia="Times New Roman" w:hAnsi="Times New Roman"/>
      <w:sz w:val="24"/>
      <w:szCs w:val="24"/>
    </w:rPr>
  </w:style>
  <w:style w:type="paragraph" w:styleId="Quote">
    <w:name w:val="Quote"/>
    <w:basedOn w:val="Normal"/>
    <w:next w:val="Normal"/>
    <w:link w:val="QuoteChar"/>
    <w:uiPriority w:val="29"/>
    <w:qFormat/>
    <w:rsid w:val="002049D9"/>
    <w:pPr>
      <w:spacing w:before="200"/>
      <w:ind w:left="864" w:right="864"/>
      <w:jc w:val="center"/>
    </w:pPr>
    <w:rPr>
      <w:i/>
      <w:iCs/>
      <w:color w:val="404040"/>
    </w:rPr>
  </w:style>
  <w:style w:type="character" w:customStyle="1" w:styleId="QuoteChar">
    <w:name w:val="Quote Char"/>
    <w:link w:val="Quote"/>
    <w:uiPriority w:val="29"/>
    <w:rsid w:val="002049D9"/>
    <w:rPr>
      <w:i/>
      <w:iCs/>
      <w:color w:val="404040"/>
      <w:sz w:val="22"/>
      <w:szCs w:val="22"/>
    </w:rPr>
  </w:style>
  <w:style w:type="paragraph" w:styleId="Caption">
    <w:name w:val="caption"/>
    <w:basedOn w:val="Normal"/>
    <w:next w:val="Normal"/>
    <w:uiPriority w:val="35"/>
    <w:unhideWhenUsed/>
    <w:qFormat/>
    <w:rsid w:val="008C0C20"/>
    <w:pPr>
      <w:spacing w:after="200" w:line="240" w:lineRule="auto"/>
    </w:pPr>
    <w:rPr>
      <w:i/>
      <w:iCs/>
      <w:color w:val="44546A" w:themeColor="text2"/>
      <w:sz w:val="18"/>
      <w:szCs w:val="18"/>
    </w:rPr>
  </w:style>
  <w:style w:type="character" w:customStyle="1" w:styleId="Heading3Char">
    <w:name w:val="Heading 3 Char"/>
    <w:basedOn w:val="DefaultParagraphFont"/>
    <w:link w:val="Heading3"/>
    <w:uiPriority w:val="9"/>
    <w:semiHidden/>
    <w:rsid w:val="00F9599A"/>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767746">
      <w:bodyDiv w:val="1"/>
      <w:marLeft w:val="0"/>
      <w:marRight w:val="0"/>
      <w:marTop w:val="0"/>
      <w:marBottom w:val="0"/>
      <w:divBdr>
        <w:top w:val="none" w:sz="0" w:space="0" w:color="auto"/>
        <w:left w:val="none" w:sz="0" w:space="0" w:color="auto"/>
        <w:bottom w:val="none" w:sz="0" w:space="0" w:color="auto"/>
        <w:right w:val="none" w:sz="0" w:space="0" w:color="auto"/>
      </w:divBdr>
    </w:div>
    <w:div w:id="54160612">
      <w:bodyDiv w:val="1"/>
      <w:marLeft w:val="0"/>
      <w:marRight w:val="0"/>
      <w:marTop w:val="0"/>
      <w:marBottom w:val="0"/>
      <w:divBdr>
        <w:top w:val="none" w:sz="0" w:space="0" w:color="auto"/>
        <w:left w:val="none" w:sz="0" w:space="0" w:color="auto"/>
        <w:bottom w:val="none" w:sz="0" w:space="0" w:color="auto"/>
        <w:right w:val="none" w:sz="0" w:space="0" w:color="auto"/>
      </w:divBdr>
    </w:div>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32137091">
      <w:bodyDiv w:val="1"/>
      <w:marLeft w:val="0"/>
      <w:marRight w:val="0"/>
      <w:marTop w:val="0"/>
      <w:marBottom w:val="0"/>
      <w:divBdr>
        <w:top w:val="none" w:sz="0" w:space="0" w:color="auto"/>
        <w:left w:val="none" w:sz="0" w:space="0" w:color="auto"/>
        <w:bottom w:val="none" w:sz="0" w:space="0" w:color="auto"/>
        <w:right w:val="none" w:sz="0" w:space="0" w:color="auto"/>
      </w:divBdr>
    </w:div>
    <w:div w:id="166678351">
      <w:bodyDiv w:val="1"/>
      <w:marLeft w:val="0"/>
      <w:marRight w:val="0"/>
      <w:marTop w:val="0"/>
      <w:marBottom w:val="0"/>
      <w:divBdr>
        <w:top w:val="none" w:sz="0" w:space="0" w:color="auto"/>
        <w:left w:val="none" w:sz="0" w:space="0" w:color="auto"/>
        <w:bottom w:val="none" w:sz="0" w:space="0" w:color="auto"/>
        <w:right w:val="none" w:sz="0" w:space="0" w:color="auto"/>
      </w:divBdr>
    </w:div>
    <w:div w:id="174268919">
      <w:bodyDiv w:val="1"/>
      <w:marLeft w:val="0"/>
      <w:marRight w:val="0"/>
      <w:marTop w:val="0"/>
      <w:marBottom w:val="0"/>
      <w:divBdr>
        <w:top w:val="none" w:sz="0" w:space="0" w:color="auto"/>
        <w:left w:val="none" w:sz="0" w:space="0" w:color="auto"/>
        <w:bottom w:val="none" w:sz="0" w:space="0" w:color="auto"/>
        <w:right w:val="none" w:sz="0" w:space="0" w:color="auto"/>
      </w:divBdr>
    </w:div>
    <w:div w:id="174926416">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45263777">
      <w:bodyDiv w:val="1"/>
      <w:marLeft w:val="0"/>
      <w:marRight w:val="0"/>
      <w:marTop w:val="0"/>
      <w:marBottom w:val="0"/>
      <w:divBdr>
        <w:top w:val="none" w:sz="0" w:space="0" w:color="auto"/>
        <w:left w:val="none" w:sz="0" w:space="0" w:color="auto"/>
        <w:bottom w:val="none" w:sz="0" w:space="0" w:color="auto"/>
        <w:right w:val="none" w:sz="0" w:space="0" w:color="auto"/>
      </w:divBdr>
    </w:div>
    <w:div w:id="306058928">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4457423">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428964756">
      <w:bodyDiv w:val="1"/>
      <w:marLeft w:val="0"/>
      <w:marRight w:val="0"/>
      <w:marTop w:val="0"/>
      <w:marBottom w:val="0"/>
      <w:divBdr>
        <w:top w:val="none" w:sz="0" w:space="0" w:color="auto"/>
        <w:left w:val="none" w:sz="0" w:space="0" w:color="auto"/>
        <w:bottom w:val="none" w:sz="0" w:space="0" w:color="auto"/>
        <w:right w:val="none" w:sz="0" w:space="0" w:color="auto"/>
      </w:divBdr>
    </w:div>
    <w:div w:id="433865802">
      <w:bodyDiv w:val="1"/>
      <w:marLeft w:val="0"/>
      <w:marRight w:val="0"/>
      <w:marTop w:val="0"/>
      <w:marBottom w:val="0"/>
      <w:divBdr>
        <w:top w:val="none" w:sz="0" w:space="0" w:color="auto"/>
        <w:left w:val="none" w:sz="0" w:space="0" w:color="auto"/>
        <w:bottom w:val="none" w:sz="0" w:space="0" w:color="auto"/>
        <w:right w:val="none" w:sz="0" w:space="0" w:color="auto"/>
      </w:divBdr>
    </w:div>
    <w:div w:id="448201320">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06947528">
      <w:bodyDiv w:val="1"/>
      <w:marLeft w:val="0"/>
      <w:marRight w:val="0"/>
      <w:marTop w:val="0"/>
      <w:marBottom w:val="0"/>
      <w:divBdr>
        <w:top w:val="none" w:sz="0" w:space="0" w:color="auto"/>
        <w:left w:val="none" w:sz="0" w:space="0" w:color="auto"/>
        <w:bottom w:val="none" w:sz="0" w:space="0" w:color="auto"/>
        <w:right w:val="none" w:sz="0" w:space="0" w:color="auto"/>
      </w:divBdr>
    </w:div>
    <w:div w:id="535655519">
      <w:bodyDiv w:val="1"/>
      <w:marLeft w:val="0"/>
      <w:marRight w:val="0"/>
      <w:marTop w:val="0"/>
      <w:marBottom w:val="0"/>
      <w:divBdr>
        <w:top w:val="none" w:sz="0" w:space="0" w:color="auto"/>
        <w:left w:val="none" w:sz="0" w:space="0" w:color="auto"/>
        <w:bottom w:val="none" w:sz="0" w:space="0" w:color="auto"/>
        <w:right w:val="none" w:sz="0" w:space="0" w:color="auto"/>
      </w:divBdr>
    </w:div>
    <w:div w:id="574752906">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0532333">
      <w:bodyDiv w:val="1"/>
      <w:marLeft w:val="0"/>
      <w:marRight w:val="0"/>
      <w:marTop w:val="0"/>
      <w:marBottom w:val="0"/>
      <w:divBdr>
        <w:top w:val="none" w:sz="0" w:space="0" w:color="auto"/>
        <w:left w:val="none" w:sz="0" w:space="0" w:color="auto"/>
        <w:bottom w:val="none" w:sz="0" w:space="0" w:color="auto"/>
        <w:right w:val="none" w:sz="0" w:space="0" w:color="auto"/>
      </w:divBdr>
    </w:div>
    <w:div w:id="636104761">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67638068">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683477206">
      <w:bodyDiv w:val="1"/>
      <w:marLeft w:val="0"/>
      <w:marRight w:val="0"/>
      <w:marTop w:val="0"/>
      <w:marBottom w:val="0"/>
      <w:divBdr>
        <w:top w:val="none" w:sz="0" w:space="0" w:color="auto"/>
        <w:left w:val="none" w:sz="0" w:space="0" w:color="auto"/>
        <w:bottom w:val="none" w:sz="0" w:space="0" w:color="auto"/>
        <w:right w:val="none" w:sz="0" w:space="0" w:color="auto"/>
      </w:divBdr>
    </w:div>
    <w:div w:id="739253865">
      <w:bodyDiv w:val="1"/>
      <w:marLeft w:val="0"/>
      <w:marRight w:val="0"/>
      <w:marTop w:val="0"/>
      <w:marBottom w:val="0"/>
      <w:divBdr>
        <w:top w:val="none" w:sz="0" w:space="0" w:color="auto"/>
        <w:left w:val="none" w:sz="0" w:space="0" w:color="auto"/>
        <w:bottom w:val="none" w:sz="0" w:space="0" w:color="auto"/>
        <w:right w:val="none" w:sz="0" w:space="0" w:color="auto"/>
      </w:divBdr>
    </w:div>
    <w:div w:id="742144899">
      <w:bodyDiv w:val="1"/>
      <w:marLeft w:val="0"/>
      <w:marRight w:val="0"/>
      <w:marTop w:val="0"/>
      <w:marBottom w:val="0"/>
      <w:divBdr>
        <w:top w:val="none" w:sz="0" w:space="0" w:color="auto"/>
        <w:left w:val="none" w:sz="0" w:space="0" w:color="auto"/>
        <w:bottom w:val="none" w:sz="0" w:space="0" w:color="auto"/>
        <w:right w:val="none" w:sz="0" w:space="0" w:color="auto"/>
      </w:divBdr>
    </w:div>
    <w:div w:id="786971060">
      <w:bodyDiv w:val="1"/>
      <w:marLeft w:val="0"/>
      <w:marRight w:val="0"/>
      <w:marTop w:val="0"/>
      <w:marBottom w:val="0"/>
      <w:divBdr>
        <w:top w:val="none" w:sz="0" w:space="0" w:color="auto"/>
        <w:left w:val="none" w:sz="0" w:space="0" w:color="auto"/>
        <w:bottom w:val="none" w:sz="0" w:space="0" w:color="auto"/>
        <w:right w:val="none" w:sz="0" w:space="0" w:color="auto"/>
      </w:divBdr>
    </w:div>
    <w:div w:id="885719596">
      <w:bodyDiv w:val="1"/>
      <w:marLeft w:val="0"/>
      <w:marRight w:val="0"/>
      <w:marTop w:val="0"/>
      <w:marBottom w:val="0"/>
      <w:divBdr>
        <w:top w:val="none" w:sz="0" w:space="0" w:color="auto"/>
        <w:left w:val="none" w:sz="0" w:space="0" w:color="auto"/>
        <w:bottom w:val="none" w:sz="0" w:space="0" w:color="auto"/>
        <w:right w:val="none" w:sz="0" w:space="0" w:color="auto"/>
      </w:divBdr>
    </w:div>
    <w:div w:id="908198780">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96618600">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08948737">
      <w:bodyDiv w:val="1"/>
      <w:marLeft w:val="0"/>
      <w:marRight w:val="0"/>
      <w:marTop w:val="0"/>
      <w:marBottom w:val="0"/>
      <w:divBdr>
        <w:top w:val="none" w:sz="0" w:space="0" w:color="auto"/>
        <w:left w:val="none" w:sz="0" w:space="0" w:color="auto"/>
        <w:bottom w:val="none" w:sz="0" w:space="0" w:color="auto"/>
        <w:right w:val="none" w:sz="0" w:space="0" w:color="auto"/>
      </w:divBdr>
    </w:div>
    <w:div w:id="1049499678">
      <w:bodyDiv w:val="1"/>
      <w:marLeft w:val="0"/>
      <w:marRight w:val="0"/>
      <w:marTop w:val="0"/>
      <w:marBottom w:val="0"/>
      <w:divBdr>
        <w:top w:val="none" w:sz="0" w:space="0" w:color="auto"/>
        <w:left w:val="none" w:sz="0" w:space="0" w:color="auto"/>
        <w:bottom w:val="none" w:sz="0" w:space="0" w:color="auto"/>
        <w:right w:val="none" w:sz="0" w:space="0" w:color="auto"/>
      </w:divBdr>
    </w:div>
    <w:div w:id="1054700858">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139802793">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65899009">
      <w:bodyDiv w:val="1"/>
      <w:marLeft w:val="0"/>
      <w:marRight w:val="0"/>
      <w:marTop w:val="0"/>
      <w:marBottom w:val="0"/>
      <w:divBdr>
        <w:top w:val="none" w:sz="0" w:space="0" w:color="auto"/>
        <w:left w:val="none" w:sz="0" w:space="0" w:color="auto"/>
        <w:bottom w:val="none" w:sz="0" w:space="0" w:color="auto"/>
        <w:right w:val="none" w:sz="0" w:space="0" w:color="auto"/>
      </w:divBdr>
    </w:div>
    <w:div w:id="1185704660">
      <w:bodyDiv w:val="1"/>
      <w:marLeft w:val="0"/>
      <w:marRight w:val="0"/>
      <w:marTop w:val="0"/>
      <w:marBottom w:val="0"/>
      <w:divBdr>
        <w:top w:val="none" w:sz="0" w:space="0" w:color="auto"/>
        <w:left w:val="none" w:sz="0" w:space="0" w:color="auto"/>
        <w:bottom w:val="none" w:sz="0" w:space="0" w:color="auto"/>
        <w:right w:val="none" w:sz="0" w:space="0" w:color="auto"/>
      </w:divBdr>
    </w:div>
    <w:div w:id="1250383557">
      <w:bodyDiv w:val="1"/>
      <w:marLeft w:val="0"/>
      <w:marRight w:val="0"/>
      <w:marTop w:val="0"/>
      <w:marBottom w:val="0"/>
      <w:divBdr>
        <w:top w:val="none" w:sz="0" w:space="0" w:color="auto"/>
        <w:left w:val="none" w:sz="0" w:space="0" w:color="auto"/>
        <w:bottom w:val="none" w:sz="0" w:space="0" w:color="auto"/>
        <w:right w:val="none" w:sz="0" w:space="0" w:color="auto"/>
      </w:divBdr>
    </w:div>
    <w:div w:id="1297760377">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52603661">
      <w:bodyDiv w:val="1"/>
      <w:marLeft w:val="0"/>
      <w:marRight w:val="0"/>
      <w:marTop w:val="0"/>
      <w:marBottom w:val="0"/>
      <w:divBdr>
        <w:top w:val="none" w:sz="0" w:space="0" w:color="auto"/>
        <w:left w:val="none" w:sz="0" w:space="0" w:color="auto"/>
        <w:bottom w:val="none" w:sz="0" w:space="0" w:color="auto"/>
        <w:right w:val="none" w:sz="0" w:space="0" w:color="auto"/>
      </w:divBdr>
    </w:div>
    <w:div w:id="1357003478">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479296596">
      <w:bodyDiv w:val="1"/>
      <w:marLeft w:val="0"/>
      <w:marRight w:val="0"/>
      <w:marTop w:val="0"/>
      <w:marBottom w:val="0"/>
      <w:divBdr>
        <w:top w:val="none" w:sz="0" w:space="0" w:color="auto"/>
        <w:left w:val="none" w:sz="0" w:space="0" w:color="auto"/>
        <w:bottom w:val="none" w:sz="0" w:space="0" w:color="auto"/>
        <w:right w:val="none" w:sz="0" w:space="0" w:color="auto"/>
      </w:divBdr>
    </w:div>
    <w:div w:id="1495417618">
      <w:bodyDiv w:val="1"/>
      <w:marLeft w:val="0"/>
      <w:marRight w:val="0"/>
      <w:marTop w:val="0"/>
      <w:marBottom w:val="0"/>
      <w:divBdr>
        <w:top w:val="none" w:sz="0" w:space="0" w:color="auto"/>
        <w:left w:val="none" w:sz="0" w:space="0" w:color="auto"/>
        <w:bottom w:val="none" w:sz="0" w:space="0" w:color="auto"/>
        <w:right w:val="none" w:sz="0" w:space="0" w:color="auto"/>
      </w:divBdr>
    </w:div>
    <w:div w:id="1500149543">
      <w:bodyDiv w:val="1"/>
      <w:marLeft w:val="0"/>
      <w:marRight w:val="0"/>
      <w:marTop w:val="0"/>
      <w:marBottom w:val="0"/>
      <w:divBdr>
        <w:top w:val="none" w:sz="0" w:space="0" w:color="auto"/>
        <w:left w:val="none" w:sz="0" w:space="0" w:color="auto"/>
        <w:bottom w:val="none" w:sz="0" w:space="0" w:color="auto"/>
        <w:right w:val="none" w:sz="0" w:space="0" w:color="auto"/>
      </w:divBdr>
    </w:div>
    <w:div w:id="1555189839">
      <w:bodyDiv w:val="1"/>
      <w:marLeft w:val="0"/>
      <w:marRight w:val="0"/>
      <w:marTop w:val="0"/>
      <w:marBottom w:val="0"/>
      <w:divBdr>
        <w:top w:val="none" w:sz="0" w:space="0" w:color="auto"/>
        <w:left w:val="none" w:sz="0" w:space="0" w:color="auto"/>
        <w:bottom w:val="none" w:sz="0" w:space="0" w:color="auto"/>
        <w:right w:val="none" w:sz="0" w:space="0" w:color="auto"/>
      </w:divBdr>
    </w:div>
    <w:div w:id="1639187815">
      <w:bodyDiv w:val="1"/>
      <w:marLeft w:val="0"/>
      <w:marRight w:val="0"/>
      <w:marTop w:val="0"/>
      <w:marBottom w:val="0"/>
      <w:divBdr>
        <w:top w:val="none" w:sz="0" w:space="0" w:color="auto"/>
        <w:left w:val="none" w:sz="0" w:space="0" w:color="auto"/>
        <w:bottom w:val="none" w:sz="0" w:space="0" w:color="auto"/>
        <w:right w:val="none" w:sz="0" w:space="0" w:color="auto"/>
      </w:divBdr>
    </w:div>
    <w:div w:id="1706052532">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99495201">
      <w:bodyDiv w:val="1"/>
      <w:marLeft w:val="0"/>
      <w:marRight w:val="0"/>
      <w:marTop w:val="0"/>
      <w:marBottom w:val="0"/>
      <w:divBdr>
        <w:top w:val="none" w:sz="0" w:space="0" w:color="auto"/>
        <w:left w:val="none" w:sz="0" w:space="0" w:color="auto"/>
        <w:bottom w:val="none" w:sz="0" w:space="0" w:color="auto"/>
        <w:right w:val="none" w:sz="0" w:space="0" w:color="auto"/>
      </w:divBdr>
    </w:div>
    <w:div w:id="1821262662">
      <w:bodyDiv w:val="1"/>
      <w:marLeft w:val="0"/>
      <w:marRight w:val="0"/>
      <w:marTop w:val="0"/>
      <w:marBottom w:val="0"/>
      <w:divBdr>
        <w:top w:val="none" w:sz="0" w:space="0" w:color="auto"/>
        <w:left w:val="none" w:sz="0" w:space="0" w:color="auto"/>
        <w:bottom w:val="none" w:sz="0" w:space="0" w:color="auto"/>
        <w:right w:val="none" w:sz="0" w:space="0" w:color="auto"/>
      </w:divBdr>
    </w:div>
    <w:div w:id="1871066864">
      <w:bodyDiv w:val="1"/>
      <w:marLeft w:val="0"/>
      <w:marRight w:val="0"/>
      <w:marTop w:val="0"/>
      <w:marBottom w:val="0"/>
      <w:divBdr>
        <w:top w:val="none" w:sz="0" w:space="0" w:color="auto"/>
        <w:left w:val="none" w:sz="0" w:space="0" w:color="auto"/>
        <w:bottom w:val="none" w:sz="0" w:space="0" w:color="auto"/>
        <w:right w:val="none" w:sz="0" w:space="0" w:color="auto"/>
      </w:divBdr>
    </w:div>
    <w:div w:id="1888682928">
      <w:bodyDiv w:val="1"/>
      <w:marLeft w:val="0"/>
      <w:marRight w:val="0"/>
      <w:marTop w:val="0"/>
      <w:marBottom w:val="0"/>
      <w:divBdr>
        <w:top w:val="none" w:sz="0" w:space="0" w:color="auto"/>
        <w:left w:val="none" w:sz="0" w:space="0" w:color="auto"/>
        <w:bottom w:val="none" w:sz="0" w:space="0" w:color="auto"/>
        <w:right w:val="none" w:sz="0" w:space="0" w:color="auto"/>
      </w:divBdr>
    </w:div>
    <w:div w:id="1899047672">
      <w:bodyDiv w:val="1"/>
      <w:marLeft w:val="0"/>
      <w:marRight w:val="0"/>
      <w:marTop w:val="0"/>
      <w:marBottom w:val="0"/>
      <w:divBdr>
        <w:top w:val="none" w:sz="0" w:space="0" w:color="auto"/>
        <w:left w:val="none" w:sz="0" w:space="0" w:color="auto"/>
        <w:bottom w:val="none" w:sz="0" w:space="0" w:color="auto"/>
        <w:right w:val="none" w:sz="0" w:space="0" w:color="auto"/>
      </w:divBdr>
    </w:div>
    <w:div w:id="1934823131">
      <w:bodyDiv w:val="1"/>
      <w:marLeft w:val="0"/>
      <w:marRight w:val="0"/>
      <w:marTop w:val="0"/>
      <w:marBottom w:val="0"/>
      <w:divBdr>
        <w:top w:val="none" w:sz="0" w:space="0" w:color="auto"/>
        <w:left w:val="none" w:sz="0" w:space="0" w:color="auto"/>
        <w:bottom w:val="none" w:sz="0" w:space="0" w:color="auto"/>
        <w:right w:val="none" w:sz="0" w:space="0" w:color="auto"/>
      </w:divBdr>
    </w:div>
    <w:div w:id="1943492420">
      <w:bodyDiv w:val="1"/>
      <w:marLeft w:val="0"/>
      <w:marRight w:val="0"/>
      <w:marTop w:val="0"/>
      <w:marBottom w:val="0"/>
      <w:divBdr>
        <w:top w:val="none" w:sz="0" w:space="0" w:color="auto"/>
        <w:left w:val="none" w:sz="0" w:space="0" w:color="auto"/>
        <w:bottom w:val="none" w:sz="0" w:space="0" w:color="auto"/>
        <w:right w:val="none" w:sz="0" w:space="0" w:color="auto"/>
      </w:divBdr>
    </w:div>
    <w:div w:id="1944994864">
      <w:bodyDiv w:val="1"/>
      <w:marLeft w:val="0"/>
      <w:marRight w:val="0"/>
      <w:marTop w:val="0"/>
      <w:marBottom w:val="0"/>
      <w:divBdr>
        <w:top w:val="none" w:sz="0" w:space="0" w:color="auto"/>
        <w:left w:val="none" w:sz="0" w:space="0" w:color="auto"/>
        <w:bottom w:val="none" w:sz="0" w:space="0" w:color="auto"/>
        <w:right w:val="none" w:sz="0" w:space="0" w:color="auto"/>
      </w:divBdr>
    </w:div>
    <w:div w:id="1966420520">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0092533">
      <w:bodyDiv w:val="1"/>
      <w:marLeft w:val="0"/>
      <w:marRight w:val="0"/>
      <w:marTop w:val="0"/>
      <w:marBottom w:val="0"/>
      <w:divBdr>
        <w:top w:val="none" w:sz="0" w:space="0" w:color="auto"/>
        <w:left w:val="none" w:sz="0" w:space="0" w:color="auto"/>
        <w:bottom w:val="none" w:sz="0" w:space="0" w:color="auto"/>
        <w:right w:val="none" w:sz="0" w:space="0" w:color="auto"/>
      </w:divBdr>
    </w:div>
    <w:div w:id="1984701919">
      <w:bodyDiv w:val="1"/>
      <w:marLeft w:val="0"/>
      <w:marRight w:val="0"/>
      <w:marTop w:val="0"/>
      <w:marBottom w:val="0"/>
      <w:divBdr>
        <w:top w:val="none" w:sz="0" w:space="0" w:color="auto"/>
        <w:left w:val="none" w:sz="0" w:space="0" w:color="auto"/>
        <w:bottom w:val="none" w:sz="0" w:space="0" w:color="auto"/>
        <w:right w:val="none" w:sz="0" w:space="0" w:color="auto"/>
      </w:divBdr>
    </w:div>
    <w:div w:id="1991783673">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53311466">
      <w:bodyDiv w:val="1"/>
      <w:marLeft w:val="0"/>
      <w:marRight w:val="0"/>
      <w:marTop w:val="0"/>
      <w:marBottom w:val="0"/>
      <w:divBdr>
        <w:top w:val="none" w:sz="0" w:space="0" w:color="auto"/>
        <w:left w:val="none" w:sz="0" w:space="0" w:color="auto"/>
        <w:bottom w:val="none" w:sz="0" w:space="0" w:color="auto"/>
        <w:right w:val="none" w:sz="0" w:space="0" w:color="auto"/>
      </w:divBdr>
    </w:div>
    <w:div w:id="2140610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RAN299bis</b:Tag>
    <b:SourceType>ConferenceProceedings</b:SourceType>
    <b:Guid>{A3CAC475-CEF3-43A8-9756-33397C4A18C2}</b:Guid>
    <b:Title>RAN2#99bis, "Chairman Notes"</b:Title>
    <b:RefOrder>1</b:RefOrder>
  </b:Source>
  <b:Source>
    <b:Tag>RAN190bis</b:Tag>
    <b:SourceType>ConferenceProceedings</b:SourceType>
    <b:Guid>{2EFCAC04-6713-49B9-AED7-7913B75C3A69}</b:Guid>
    <b:Title>RAN1#90bis, "Chairman Notes"</b:Title>
    <b:RefOrder>2</b:RefOrder>
  </b:Source>
</b:Sources>
</file>

<file path=customXml/itemProps1.xml><?xml version="1.0" encoding="utf-8"?>
<ds:datastoreItem xmlns:ds="http://schemas.openxmlformats.org/officeDocument/2006/customXml" ds:itemID="{97CF9B5B-CEE0-4B9A-AF13-D0C734C1CE52}">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ECBBECEB-93BD-4642-93BD-6B9C9A7AC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C086211-7F5D-4D3D-98C6-46625FA417A7}">
  <ds:schemaRefs>
    <ds:schemaRef ds:uri="http://schemas.microsoft.com/sharepoint/v3/contenttype/forms"/>
  </ds:schemaRefs>
</ds:datastoreItem>
</file>

<file path=customXml/itemProps4.xml><?xml version="1.0" encoding="utf-8"?>
<ds:datastoreItem xmlns:ds="http://schemas.openxmlformats.org/officeDocument/2006/customXml" ds:itemID="{8D150632-283A-4D79-8F8C-3691F405CD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1103</TotalTime>
  <Pages>2</Pages>
  <Words>984</Words>
  <Characters>5179</Characters>
  <Application>Microsoft Office Word</Application>
  <DocSecurity>0</DocSecurity>
  <Lines>84</Lines>
  <Paragraphs>40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6141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Ansab</dc:creator>
  <cp:keywords>CTPClassification=CTP_IC:VisualMarkings=, CTPClassification=CTP_PUBLIC:VisualMarkings=</cp:keywords>
  <dc:description/>
  <cp:lastModifiedBy>Ansab Ali</cp:lastModifiedBy>
  <cp:revision>169</cp:revision>
  <dcterms:created xsi:type="dcterms:W3CDTF">2017-08-10T20:32:00Z</dcterms:created>
  <dcterms:modified xsi:type="dcterms:W3CDTF">2017-11-17T04:19:00Z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8850e581-4a43-4e8f-a7f6-8ac716511562</vt:lpwstr>
  </property>
  <property fmtid="{D5CDD505-2E9C-101B-9397-08002B2CF9AE}" pid="4" name="CTP_BU">
    <vt:lpwstr>NA</vt:lpwstr>
  </property>
  <property fmtid="{D5CDD505-2E9C-101B-9397-08002B2CF9AE}" pid="5" name="CTP_TimeStamp">
    <vt:lpwstr>2017-11-17 04:19:28Z</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